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line="360" w:lineRule="auto"/>
        <w:ind w:firstLine="0" w:firstLineChars="0"/>
        <w:jc w:val="center"/>
        <w:rPr>
          <w:rFonts w:hint="eastAsia" w:ascii="方正小标宋简体" w:hAnsi="黑体" w:eastAsia="方正小标宋简体" w:cs="Times New Roman"/>
          <w:bCs/>
          <w:sz w:val="44"/>
          <w:szCs w:val="44"/>
        </w:rPr>
      </w:pPr>
      <w:bookmarkStart w:id="1" w:name="_GoBack"/>
      <w:r>
        <w:rPr>
          <w:rFonts w:hint="eastAsia" w:ascii="方正小标宋简体" w:hAnsi="黑体" w:eastAsia="方正小标宋简体" w:cs="Times New Roman"/>
          <w:bCs/>
          <w:sz w:val="44"/>
          <w:szCs w:val="44"/>
        </w:rPr>
        <w:t>鄂州市自然资源和城乡建设局</w:t>
      </w:r>
    </w:p>
    <w:p>
      <w:pPr>
        <w:snapToGrid/>
        <w:spacing w:line="360" w:lineRule="auto"/>
        <w:ind w:firstLine="0" w:firstLineChars="0"/>
        <w:jc w:val="center"/>
        <w:rPr>
          <w:rFonts w:hint="eastAsia" w:ascii="方正小标宋简体" w:hAnsi="黑体" w:eastAsia="方正小标宋简体" w:cs="Times New Roman"/>
          <w:bCs/>
          <w:sz w:val="44"/>
          <w:szCs w:val="44"/>
        </w:rPr>
      </w:pPr>
      <w:r>
        <w:rPr>
          <w:rFonts w:hint="eastAsia" w:ascii="方正小标宋简体" w:hAnsi="黑体" w:eastAsia="方正小标宋简体" w:cs="Times New Roman"/>
          <w:bCs/>
          <w:sz w:val="44"/>
          <w:szCs w:val="44"/>
        </w:rPr>
        <w:t>关于征求</w:t>
      </w:r>
      <w:r>
        <w:rPr>
          <w:rFonts w:hint="eastAsia" w:ascii="方正小标宋简体" w:hAnsi="黑体" w:eastAsia="方正小标宋简体" w:cs="Times New Roman"/>
          <w:bCs/>
          <w:sz w:val="44"/>
          <w:szCs w:val="44"/>
          <w:lang w:eastAsia="zh-CN"/>
        </w:rPr>
        <w:t>《</w:t>
      </w:r>
      <w:r>
        <w:rPr>
          <w:rFonts w:hint="eastAsia" w:ascii="方正小标宋简体" w:hAnsi="黑体" w:eastAsia="方正小标宋简体" w:cs="Times New Roman"/>
          <w:bCs/>
          <w:sz w:val="44"/>
          <w:szCs w:val="44"/>
        </w:rPr>
        <w:t>鄂州市新一轮征地区片综合地价重新公布</w:t>
      </w:r>
      <w:r>
        <w:rPr>
          <w:rFonts w:hint="eastAsia" w:ascii="方正小标宋简体" w:hAnsi="黑体" w:eastAsia="方正小标宋简体" w:cs="Times New Roman"/>
          <w:bCs/>
          <w:sz w:val="44"/>
          <w:szCs w:val="44"/>
          <w:lang w:eastAsia="zh-CN"/>
        </w:rPr>
        <w:t>》</w:t>
      </w:r>
      <w:r>
        <w:rPr>
          <w:rFonts w:hint="eastAsia" w:ascii="方正小标宋简体" w:hAnsi="黑体" w:eastAsia="方正小标宋简体" w:cs="Times New Roman"/>
          <w:bCs/>
          <w:sz w:val="44"/>
          <w:szCs w:val="44"/>
        </w:rPr>
        <w:t>意见的公告</w:t>
      </w:r>
    </w:p>
    <w:p>
      <w:pPr>
        <w:snapToGrid/>
        <w:spacing w:line="360" w:lineRule="auto"/>
        <w:rPr>
          <w:rFonts w:hint="eastAsia" w:ascii="仿宋_GB2312" w:hAnsi="黑体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黑体" w:eastAsia="仿宋_GB2312" w:cs="Times New Roman"/>
          <w:bCs/>
          <w:sz w:val="32"/>
          <w:szCs w:val="32"/>
        </w:rPr>
        <w:t>根据《中华人民共和国土地管理法》关于“征收农用地区片综合地价至少每三年调整或者重新公布一次”的规定，以及《省自然资源厅关于印发〈湖北省新一轮征地区片综合地价调整工作方案〉的通知》要求，我市拟开展新一轮征地区片综合地价上调或重新公布工作。为科学合理确定本轮工作方式，进一步规范集体土地征收补偿工作，切实维护被征地农村集体经济组织和农民的合法权益，现就是否上调鄂州市现行征地区片综合地价标准，或者维持现行标准并重新公布，</w:t>
      </w:r>
      <w:r>
        <w:rPr>
          <w:rFonts w:ascii="仿宋_GB2312" w:hAnsi="黑体" w:eastAsia="仿宋_GB2312" w:cs="Times New Roman"/>
          <w:bCs/>
          <w:sz w:val="32"/>
          <w:szCs w:val="32"/>
        </w:rPr>
        <w:t>向各区</w:t>
      </w:r>
      <w:r>
        <w:rPr>
          <w:rFonts w:hint="eastAsia" w:ascii="仿宋_GB2312" w:hAnsi="黑体" w:eastAsia="仿宋_GB2312" w:cs="Times New Roman"/>
          <w:bCs/>
          <w:sz w:val="32"/>
          <w:szCs w:val="32"/>
          <w:lang w:eastAsia="zh-CN"/>
        </w:rPr>
        <w:t>、</w:t>
      </w:r>
      <w:r>
        <w:rPr>
          <w:rFonts w:ascii="仿宋_GB2312" w:hAnsi="黑体" w:eastAsia="仿宋_GB2312" w:cs="Times New Roman"/>
          <w:bCs/>
          <w:sz w:val="32"/>
          <w:szCs w:val="32"/>
        </w:rPr>
        <w:t>被征地农村集体经济组织、农民和社会公众公开征求意见</w:t>
      </w:r>
      <w:r>
        <w:rPr>
          <w:rFonts w:hint="eastAsia" w:ascii="仿宋_GB2312" w:hAnsi="黑体" w:eastAsia="仿宋_GB2312" w:cs="Times New Roman"/>
          <w:bCs/>
          <w:sz w:val="32"/>
          <w:szCs w:val="32"/>
          <w:lang w:eastAsia="zh-CN"/>
        </w:rPr>
        <w:t>，热忱欢迎</w:t>
      </w:r>
      <w:r>
        <w:rPr>
          <w:rFonts w:hint="eastAsia" w:ascii="仿宋_GB2312" w:hAnsi="黑体" w:eastAsia="仿宋_GB2312" w:cs="Times New Roman"/>
          <w:bCs/>
          <w:sz w:val="32"/>
          <w:szCs w:val="32"/>
        </w:rPr>
        <w:t>有关单位和社会各界人士</w:t>
      </w:r>
      <w:r>
        <w:rPr>
          <w:rFonts w:hint="eastAsia" w:ascii="仿宋_GB2312" w:hAnsi="黑体" w:eastAsia="仿宋_GB2312" w:cs="Times New Roman"/>
          <w:bCs/>
          <w:sz w:val="32"/>
          <w:szCs w:val="32"/>
          <w:lang w:eastAsia="zh-CN"/>
        </w:rPr>
        <w:t>积极参与，</w:t>
      </w:r>
      <w:r>
        <w:rPr>
          <w:rFonts w:hint="eastAsia" w:ascii="仿宋_GB2312" w:hAnsi="黑体" w:eastAsia="仿宋_GB2312" w:cs="Times New Roman"/>
          <w:bCs/>
          <w:sz w:val="32"/>
          <w:szCs w:val="32"/>
        </w:rPr>
        <w:t>提出</w:t>
      </w:r>
      <w:r>
        <w:rPr>
          <w:rFonts w:hint="eastAsia" w:ascii="仿宋_GB2312" w:hAnsi="黑体" w:eastAsia="仿宋_GB2312" w:cs="Times New Roman"/>
          <w:bCs/>
          <w:sz w:val="32"/>
          <w:szCs w:val="32"/>
          <w:lang w:eastAsia="zh-CN"/>
        </w:rPr>
        <w:t>可行性的</w:t>
      </w:r>
      <w:r>
        <w:rPr>
          <w:rFonts w:hint="eastAsia" w:ascii="仿宋_GB2312" w:hAnsi="黑体" w:eastAsia="仿宋_GB2312" w:cs="Times New Roman"/>
          <w:bCs/>
          <w:sz w:val="32"/>
          <w:szCs w:val="32"/>
        </w:rPr>
        <w:t>意见和建议</w:t>
      </w:r>
      <w:r>
        <w:rPr>
          <w:rFonts w:hint="eastAsia" w:ascii="仿宋_GB2312" w:hAnsi="黑体" w:eastAsia="仿宋_GB2312" w:cs="Times New Roman"/>
          <w:bCs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 w:cs="Times New Roman"/>
          <w:bCs/>
          <w:sz w:val="32"/>
          <w:szCs w:val="32"/>
        </w:rPr>
        <w:t>如在期限内未发送邮件，默认为无意见。提交意见时，请注明联系人及联系方式，以便沟通反馈。</w:t>
      </w:r>
    </w:p>
    <w:p>
      <w:pPr>
        <w:snapToGrid/>
        <w:spacing w:line="360" w:lineRule="auto"/>
        <w:ind w:left="638" w:leftChars="228" w:firstLine="0" w:firstLineChars="0"/>
        <w:rPr>
          <w:rFonts w:hint="eastAsia" w:ascii="仿宋_GB2312" w:hAnsi="黑体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黑体" w:eastAsia="仿宋_GB2312" w:cs="Times New Roman"/>
          <w:bCs/>
          <w:sz w:val="32"/>
          <w:szCs w:val="32"/>
        </w:rPr>
        <w:t>征求意见时间</w:t>
      </w:r>
      <w:r>
        <w:rPr>
          <w:rFonts w:hint="eastAsia" w:ascii="仿宋_GB2312" w:hAnsi="黑体" w:eastAsia="仿宋_GB2312" w:cs="Times New Roman"/>
          <w:bCs/>
          <w:sz w:val="32"/>
          <w:szCs w:val="32"/>
          <w:lang w:eastAsia="zh-CN"/>
        </w:rPr>
        <w:t>：</w:t>
      </w:r>
      <w:r>
        <w:rPr>
          <w:rFonts w:hint="eastAsia" w:ascii="仿宋_GB2312" w:hAnsi="黑体" w:eastAsia="仿宋_GB2312" w:cs="Times New Roman"/>
          <w:bCs/>
          <w:sz w:val="32"/>
          <w:szCs w:val="32"/>
        </w:rPr>
        <w:t>2026年8月</w:t>
      </w:r>
      <w:r>
        <w:rPr>
          <w:rFonts w:hint="eastAsia" w:ascii="仿宋_GB2312" w:hAnsi="黑体" w:eastAsia="仿宋_GB2312" w:cs="Times New Roman"/>
          <w:bCs/>
          <w:sz w:val="32"/>
          <w:szCs w:val="32"/>
          <w:lang w:val="en-US" w:eastAsia="zh-CN"/>
        </w:rPr>
        <w:t>10</w:t>
      </w:r>
      <w:r>
        <w:rPr>
          <w:rFonts w:hint="eastAsia" w:ascii="仿宋_GB2312" w:hAnsi="黑体" w:eastAsia="仿宋_GB2312" w:cs="Times New Roman"/>
          <w:bCs/>
          <w:sz w:val="32"/>
          <w:szCs w:val="32"/>
        </w:rPr>
        <w:t>日至2026年8月1</w:t>
      </w:r>
      <w:r>
        <w:rPr>
          <w:rFonts w:hint="eastAsia" w:ascii="仿宋_GB2312" w:hAnsi="黑体" w:eastAsia="仿宋_GB2312" w:cs="Times New Roman"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黑体" w:eastAsia="仿宋_GB2312" w:cs="Times New Roman"/>
          <w:bCs/>
          <w:sz w:val="32"/>
          <w:szCs w:val="32"/>
        </w:rPr>
        <w:t>日。</w:t>
      </w:r>
      <w:r>
        <w:rPr>
          <w:rFonts w:hint="eastAsia" w:ascii="仿宋_GB2312" w:hAnsi="黑体" w:eastAsia="仿宋_GB2312" w:cs="Times New Roman"/>
          <w:bCs/>
          <w:sz w:val="32"/>
          <w:szCs w:val="32"/>
          <w:lang w:eastAsia="zh-CN"/>
        </w:rPr>
        <w:t>联系方式：市耕保科</w:t>
      </w:r>
      <w:r>
        <w:rPr>
          <w:rFonts w:hint="eastAsia" w:ascii="仿宋_GB2312" w:hAnsi="黑体" w:eastAsia="仿宋_GB2312" w:cs="Times New Roman"/>
          <w:bCs/>
          <w:sz w:val="32"/>
          <w:szCs w:val="32"/>
          <w:lang w:val="en-US" w:eastAsia="zh-CN"/>
        </w:rPr>
        <w:t>；</w:t>
      </w:r>
      <w:r>
        <w:rPr>
          <w:rFonts w:hint="eastAsia" w:ascii="仿宋_GB2312" w:hAnsi="黑体" w:eastAsia="仿宋_GB2312" w:cs="Times New Roman"/>
          <w:bCs/>
          <w:sz w:val="32"/>
          <w:szCs w:val="32"/>
        </w:rPr>
        <w:t>电话：</w:t>
      </w:r>
      <w:r>
        <w:rPr>
          <w:rFonts w:hint="eastAsia" w:ascii="仿宋_GB2312" w:hAnsi="黑体" w:eastAsia="仿宋_GB2312" w:cs="Times New Roman"/>
          <w:bCs/>
          <w:sz w:val="32"/>
          <w:szCs w:val="32"/>
          <w:lang w:val="en-US" w:eastAsia="zh-CN"/>
        </w:rPr>
        <w:t>027-60698517</w:t>
      </w:r>
    </w:p>
    <w:p>
      <w:pPr>
        <w:snapToGrid/>
        <w:spacing w:line="360" w:lineRule="auto"/>
        <w:ind w:left="638" w:leftChars="228" w:firstLine="0" w:firstLineChars="0"/>
        <w:rPr>
          <w:rFonts w:hint="eastAsia" w:ascii="仿宋_GB2312" w:hAnsi="黑体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黑体" w:eastAsia="仿宋_GB2312" w:cs="Times New Roman"/>
          <w:bCs/>
          <w:sz w:val="32"/>
          <w:szCs w:val="32"/>
          <w:lang w:eastAsia="zh-CN"/>
        </w:rPr>
        <w:t>邮</w:t>
      </w:r>
      <w:r>
        <w:rPr>
          <w:rFonts w:hint="eastAsia" w:ascii="仿宋_GB2312" w:hAnsi="黑体" w:eastAsia="仿宋_GB2312" w:cs="Times New Roman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黑体" w:eastAsia="仿宋_GB2312" w:cs="Times New Roman"/>
          <w:bCs/>
          <w:sz w:val="32"/>
          <w:szCs w:val="32"/>
          <w:lang w:eastAsia="zh-CN"/>
        </w:rPr>
        <w:t>箱：</w:t>
      </w:r>
      <w:r>
        <w:rPr>
          <w:rFonts w:hint="eastAsia" w:ascii="仿宋_GB2312" w:hAnsi="黑体" w:eastAsia="仿宋_GB2312" w:cs="Times New Roman"/>
          <w:bCs/>
          <w:sz w:val="32"/>
          <w:szCs w:val="32"/>
          <w:lang w:val="en-US" w:eastAsia="zh-CN"/>
        </w:rPr>
        <w:t>997302598</w:t>
      </w:r>
      <w:r>
        <w:rPr>
          <w:rFonts w:hint="eastAsia" w:ascii="仿宋_GB2312" w:hAnsi="黑体" w:eastAsia="仿宋_GB2312" w:cs="Times New Roman"/>
          <w:bCs/>
          <w:sz w:val="32"/>
          <w:szCs w:val="32"/>
        </w:rPr>
        <w:t>@</w:t>
      </w:r>
      <w:r>
        <w:rPr>
          <w:rFonts w:hint="eastAsia" w:ascii="仿宋_GB2312" w:hAnsi="黑体" w:eastAsia="仿宋_GB2312" w:cs="Times New Roman"/>
          <w:bCs/>
          <w:sz w:val="32"/>
          <w:szCs w:val="32"/>
          <w:lang w:val="en-US" w:eastAsia="zh-CN"/>
        </w:rPr>
        <w:t>qq</w:t>
      </w:r>
      <w:r>
        <w:rPr>
          <w:rFonts w:hint="eastAsia" w:ascii="仿宋_GB2312" w:hAnsi="黑体" w:eastAsia="仿宋_GB2312" w:cs="Times New Roman"/>
          <w:bCs/>
          <w:sz w:val="32"/>
          <w:szCs w:val="32"/>
        </w:rPr>
        <w:t>.com</w:t>
      </w:r>
    </w:p>
    <w:p>
      <w:pPr>
        <w:snapToGrid/>
        <w:spacing w:line="360" w:lineRule="auto"/>
        <w:ind w:firstLine="640"/>
        <w:jc w:val="left"/>
        <w:rPr>
          <w:rFonts w:hint="eastAsia" w:ascii="仿宋_GB2312" w:hAnsi="黑体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黑体" w:eastAsia="仿宋_GB2312" w:cs="Times New Roman"/>
          <w:bCs/>
          <w:sz w:val="32"/>
          <w:szCs w:val="32"/>
        </w:rPr>
        <w:t>附件：</w:t>
      </w:r>
      <w:r>
        <w:rPr>
          <w:rFonts w:ascii="仿宋_GB2312" w:hAnsi="黑体" w:eastAsia="仿宋_GB2312" w:cs="Times New Roman"/>
          <w:bCs/>
          <w:sz w:val="32"/>
          <w:szCs w:val="32"/>
        </w:rPr>
        <w:t>鄂州市现行征地区片综合地价标准表</w:t>
      </w:r>
    </w:p>
    <w:p>
      <w:pPr>
        <w:snapToGrid/>
        <w:spacing w:line="360" w:lineRule="auto"/>
        <w:ind w:firstLine="0" w:firstLineChars="0"/>
        <w:jc w:val="right"/>
        <w:rPr>
          <w:rFonts w:hint="eastAsia" w:ascii="仿宋_GB2312" w:hAnsi="黑体" w:eastAsia="仿宋_GB2312" w:cs="Times New Roman"/>
          <w:bCs/>
          <w:sz w:val="32"/>
          <w:szCs w:val="32"/>
        </w:rPr>
      </w:pPr>
      <w:r>
        <w:rPr>
          <w:rFonts w:hint="eastAsia" w:ascii="仿宋_GB2312" w:hAnsi="黑体" w:eastAsia="仿宋_GB2312" w:cs="Times New Roman"/>
          <w:bCs/>
          <w:sz w:val="32"/>
          <w:szCs w:val="32"/>
        </w:rPr>
        <w:t>鄂州市自然资源和城乡建设局</w:t>
      </w:r>
    </w:p>
    <w:p>
      <w:pPr>
        <w:snapToGrid/>
        <w:spacing w:line="360" w:lineRule="auto"/>
        <w:ind w:firstLine="0" w:firstLineChars="0"/>
        <w:jc w:val="center"/>
        <w:rPr>
          <w:rFonts w:hint="eastAsia" w:ascii="仿宋_GB2312" w:hAnsi="黑体" w:eastAsia="仿宋_GB2312" w:cs="Times New Roman"/>
          <w:bCs/>
          <w:sz w:val="32"/>
          <w:szCs w:val="32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黑体" w:eastAsia="仿宋_GB2312" w:cs="Times New Roman"/>
          <w:bCs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仿宋_GB2312" w:hAnsi="黑体" w:eastAsia="仿宋_GB2312" w:cs="Times New Roman"/>
          <w:bCs/>
          <w:sz w:val="32"/>
          <w:szCs w:val="32"/>
        </w:rPr>
        <w:t>2026年8月</w:t>
      </w:r>
      <w:r>
        <w:rPr>
          <w:rFonts w:hint="eastAsia" w:ascii="仿宋_GB2312" w:hAnsi="黑体" w:eastAsia="仿宋_GB2312" w:cs="Times New Roman"/>
          <w:bCs/>
          <w:sz w:val="32"/>
          <w:szCs w:val="32"/>
          <w:lang w:val="en-US" w:eastAsia="zh-CN"/>
        </w:rPr>
        <w:t>10</w:t>
      </w:r>
      <w:r>
        <w:rPr>
          <w:rFonts w:hint="eastAsia" w:ascii="仿宋_GB2312" w:hAnsi="黑体" w:eastAsia="仿宋_GB2312" w:cs="Times New Roman"/>
          <w:bCs/>
          <w:sz w:val="32"/>
          <w:szCs w:val="32"/>
        </w:rPr>
        <w:t>日</w:t>
      </w:r>
    </w:p>
    <w:p>
      <w:pPr>
        <w:snapToGrid/>
        <w:ind w:firstLine="0" w:firstLineChars="0"/>
        <w:jc w:val="left"/>
        <w:rPr>
          <w:rFonts w:hint="eastAsia" w:ascii="黑体" w:hAnsi="黑体" w:eastAsia="黑体" w:cs="Times New Roman"/>
          <w:bCs/>
          <w:sz w:val="32"/>
          <w:szCs w:val="24"/>
        </w:rPr>
      </w:pPr>
      <w:r>
        <w:rPr>
          <w:rFonts w:ascii="黑体" w:hAnsi="黑体" w:eastAsia="黑体" w:cs="Times New Roman"/>
          <w:bCs/>
          <w:sz w:val="32"/>
          <w:szCs w:val="24"/>
        </w:rPr>
        <w:t>附件</w:t>
      </w:r>
    </w:p>
    <w:p>
      <w:pPr>
        <w:widowControl/>
        <w:snapToGrid/>
        <w:ind w:left="640" w:firstLine="0" w:firstLineChars="0"/>
        <w:jc w:val="center"/>
        <w:rPr>
          <w:rFonts w:hint="eastAsia" w:ascii="仿宋_GB2312" w:hAnsi="黑体" w:eastAsia="仿宋_GB2312" w:cs="Times New Roman"/>
          <w:bCs/>
          <w:sz w:val="32"/>
          <w:szCs w:val="32"/>
          <w:lang w:eastAsia="zh-CN"/>
        </w:rPr>
      </w:pPr>
      <w:r>
        <w:rPr>
          <w:rFonts w:hint="eastAsia" w:ascii="方正小标宋简体" w:hAnsi="Times New Roman" w:eastAsia="方正小标宋简体" w:cs="Times New Roman"/>
          <w:kern w:val="0"/>
          <w:sz w:val="44"/>
          <w:szCs w:val="44"/>
        </w:rPr>
        <w:t>鄂州市现行征地区片综合地价标准表</w:t>
      </w:r>
    </w:p>
    <w:p>
      <w:pPr>
        <w:widowControl/>
        <w:snapToGrid/>
        <w:ind w:left="640" w:firstLine="0" w:firstLineChars="0"/>
        <w:jc w:val="center"/>
        <w:rPr>
          <w:rFonts w:hint="eastAsia" w:ascii="仿宋_GB2312" w:hAnsi="黑体" w:eastAsia="仿宋_GB2312" w:cs="Times New Roman"/>
          <w:bCs/>
          <w:sz w:val="32"/>
          <w:szCs w:val="32"/>
          <w:lang w:eastAsia="zh-CN"/>
        </w:rPr>
      </w:pPr>
    </w:p>
    <w:p>
      <w:pPr>
        <w:widowControl/>
        <w:snapToGrid/>
        <w:ind w:left="640" w:firstLine="0" w:firstLineChars="0"/>
        <w:jc w:val="center"/>
        <w:rPr>
          <w:rFonts w:hint="eastAsia" w:ascii="仿宋_GB2312" w:hAnsi="黑体" w:eastAsia="仿宋_GB2312" w:cs="Times New Roman"/>
          <w:bCs/>
          <w:sz w:val="32"/>
          <w:szCs w:val="32"/>
          <w:lang w:eastAsia="zh-CN"/>
        </w:rPr>
      </w:pPr>
    </w:p>
    <w:p>
      <w:pPr>
        <w:snapToGrid/>
        <w:ind w:firstLine="0" w:firstLineChars="0"/>
        <w:jc w:val="left"/>
        <w:rPr>
          <w:rFonts w:ascii="Calibri" w:hAnsi="Calibri" w:eastAsia="楷体" w:cs="Times New Roman"/>
          <w:b/>
          <w:sz w:val="32"/>
          <w:szCs w:val="24"/>
        </w:rPr>
      </w:pPr>
    </w:p>
    <w:tbl>
      <w:tblPr>
        <w:tblStyle w:val="16"/>
        <w:tblpPr w:leftFromText="180" w:rightFromText="180" w:vertAnchor="page" w:horzAnchor="page" w:tblpX="1892" w:tblpY="415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1258"/>
        <w:gridCol w:w="4358"/>
        <w:gridCol w:w="1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718" w:type="pct"/>
            <w:vAlign w:val="center"/>
          </w:tcPr>
          <w:p>
            <w:pPr>
              <w:widowControl/>
              <w:snapToGrid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地区</w:t>
            </w:r>
          </w:p>
          <w:p>
            <w:pPr>
              <w:widowControl/>
              <w:snapToGrid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738" w:type="pct"/>
            <w:vAlign w:val="center"/>
          </w:tcPr>
          <w:p>
            <w:pPr>
              <w:widowControl/>
              <w:snapToGrid/>
              <w:ind w:firstLine="0" w:firstLineChars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区片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级别</w:t>
            </w:r>
          </w:p>
        </w:tc>
        <w:tc>
          <w:tcPr>
            <w:tcW w:w="2557" w:type="pct"/>
            <w:vAlign w:val="center"/>
          </w:tcPr>
          <w:p>
            <w:pPr>
              <w:widowControl/>
              <w:snapToGrid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区片范围</w:t>
            </w:r>
          </w:p>
        </w:tc>
        <w:tc>
          <w:tcPr>
            <w:tcW w:w="987" w:type="pct"/>
            <w:vAlign w:val="center"/>
          </w:tcPr>
          <w:p>
            <w:pPr>
              <w:widowControl/>
              <w:snapToGrid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征地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区片价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（元/亩）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718" w:type="pct"/>
            <w:vMerge w:val="restart"/>
            <w:vAlign w:val="center"/>
          </w:tcPr>
          <w:p>
            <w:pPr>
              <w:widowControl/>
              <w:snapToGrid/>
              <w:ind w:firstLine="0" w:firstLineChars="0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鄂城区</w:t>
            </w:r>
          </w:p>
        </w:tc>
        <w:tc>
          <w:tcPr>
            <w:tcW w:w="738" w:type="pct"/>
            <w:vAlign w:val="center"/>
          </w:tcPr>
          <w:p>
            <w:pPr>
              <w:pStyle w:val="14"/>
              <w:widowControl w:val="0"/>
              <w:spacing w:beforeAutospacing="0" w:afterAutospacing="0"/>
              <w:ind w:firstLine="560"/>
              <w:jc w:val="both"/>
              <w:rPr>
                <w:rFonts w:ascii="Times New Roman" w:hAnsi="Times New Roman" w:eastAsia="仿宋"/>
                <w:kern w:val="2"/>
              </w:rPr>
            </w:pPr>
            <w:r>
              <w:rPr>
                <w:rFonts w:hint="eastAsia" w:ascii="Times New Roman" w:hAnsi="Times New Roman" w:eastAsia="仿宋"/>
                <w:kern w:val="2"/>
              </w:rPr>
              <w:t>I</w:t>
            </w:r>
          </w:p>
        </w:tc>
        <w:tc>
          <w:tcPr>
            <w:tcW w:w="2557" w:type="pct"/>
            <w:vAlign w:val="center"/>
          </w:tcPr>
          <w:p>
            <w:pPr>
              <w:widowControl/>
              <w:snapToGrid/>
              <w:ind w:firstLine="0" w:firstLineChars="0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bookmarkStart w:id="0" w:name="_Hlk135652985"/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古楼</w:t>
            </w:r>
            <w:r>
              <w:rPr>
                <w:rFonts w:hint="eastAsia"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街道办事处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、西山</w:t>
            </w:r>
            <w:r>
              <w:rPr>
                <w:rFonts w:hint="eastAsia"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街道办事处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、凤凰</w:t>
            </w:r>
            <w:r>
              <w:rPr>
                <w:rFonts w:hint="eastAsia"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街道办事处</w:t>
            </w:r>
            <w:bookmarkEnd w:id="0"/>
          </w:p>
        </w:tc>
        <w:tc>
          <w:tcPr>
            <w:tcW w:w="987" w:type="pct"/>
            <w:vAlign w:val="center"/>
          </w:tcPr>
          <w:p>
            <w:pPr>
              <w:pStyle w:val="14"/>
              <w:widowControl w:val="0"/>
              <w:spacing w:beforeAutospacing="0" w:afterAutospacing="0"/>
              <w:ind w:firstLine="560"/>
              <w:jc w:val="both"/>
              <w:rPr>
                <w:rFonts w:ascii="Times New Roman" w:hAnsi="Times New Roman" w:eastAsia="仿宋"/>
                <w:kern w:val="2"/>
              </w:rPr>
            </w:pPr>
            <w:r>
              <w:rPr>
                <w:rFonts w:hint="eastAsia"/>
              </w:rPr>
              <w:t>79100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718" w:type="pct"/>
            <w:vMerge w:val="continue"/>
            <w:vAlign w:val="center"/>
          </w:tcPr>
          <w:p>
            <w:pPr>
              <w:widowControl/>
              <w:snapToGrid/>
              <w:ind w:firstLine="0" w:firstLineChars="0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>
            <w:pPr>
              <w:pStyle w:val="14"/>
              <w:widowControl w:val="0"/>
              <w:spacing w:beforeAutospacing="0" w:afterAutospacing="0"/>
              <w:ind w:firstLine="560"/>
              <w:jc w:val="both"/>
              <w:rPr>
                <w:rFonts w:ascii="Times New Roman" w:hAnsi="Times New Roman" w:eastAsia="仿宋"/>
                <w:kern w:val="2"/>
              </w:rPr>
            </w:pPr>
            <w:r>
              <w:rPr>
                <w:rFonts w:hint="eastAsia" w:ascii="Times New Roman" w:hAnsi="Times New Roman" w:eastAsia="仿宋"/>
                <w:kern w:val="2"/>
              </w:rPr>
              <w:t>II</w:t>
            </w:r>
          </w:p>
        </w:tc>
        <w:tc>
          <w:tcPr>
            <w:tcW w:w="2557" w:type="pct"/>
            <w:vAlign w:val="center"/>
          </w:tcPr>
          <w:p>
            <w:pPr>
              <w:widowControl/>
              <w:snapToGrid/>
              <w:ind w:firstLine="0" w:firstLineChars="0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樊口</w:t>
            </w:r>
            <w:r>
              <w:rPr>
                <w:rFonts w:hint="eastAsia"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街道办事处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、泽林镇</w:t>
            </w:r>
          </w:p>
        </w:tc>
        <w:tc>
          <w:tcPr>
            <w:tcW w:w="987" w:type="pct"/>
            <w:vAlign w:val="center"/>
          </w:tcPr>
          <w:p>
            <w:pPr>
              <w:pStyle w:val="14"/>
              <w:widowControl w:val="0"/>
              <w:spacing w:beforeAutospacing="0" w:afterAutospacing="0"/>
              <w:ind w:firstLine="560"/>
              <w:jc w:val="both"/>
              <w:rPr>
                <w:rFonts w:ascii="Times New Roman" w:hAnsi="Times New Roman" w:eastAsia="仿宋"/>
                <w:kern w:val="2"/>
              </w:rPr>
            </w:pPr>
            <w:r>
              <w:rPr>
                <w:rFonts w:hint="eastAsia"/>
              </w:rPr>
              <w:t>61900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718" w:type="pct"/>
            <w:vMerge w:val="continue"/>
            <w:vAlign w:val="center"/>
          </w:tcPr>
          <w:p>
            <w:pPr>
              <w:widowControl/>
              <w:snapToGrid/>
              <w:ind w:firstLine="0" w:firstLineChars="0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>
            <w:pPr>
              <w:pStyle w:val="14"/>
              <w:widowControl w:val="0"/>
              <w:spacing w:beforeAutospacing="0" w:afterAutospacing="0"/>
              <w:ind w:firstLine="560"/>
              <w:jc w:val="both"/>
              <w:rPr>
                <w:rFonts w:ascii="Times New Roman" w:hAnsi="Times New Roman" w:eastAsia="仿宋"/>
                <w:kern w:val="2"/>
              </w:rPr>
            </w:pPr>
            <w:r>
              <w:rPr>
                <w:rFonts w:hint="eastAsia" w:ascii="Times New Roman" w:hAnsi="Times New Roman" w:eastAsia="仿宋"/>
                <w:kern w:val="2"/>
              </w:rPr>
              <w:t>III</w:t>
            </w:r>
          </w:p>
        </w:tc>
        <w:tc>
          <w:tcPr>
            <w:tcW w:w="2557" w:type="pct"/>
            <w:vAlign w:val="center"/>
          </w:tcPr>
          <w:p>
            <w:pPr>
              <w:widowControl/>
              <w:snapToGrid/>
              <w:ind w:firstLine="0" w:firstLineChars="0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杜山镇、新庙镇、燕矶镇、沙窝乡、碧石渡镇、汀祖镇、杨叶镇、花湖镇、长港镇</w:t>
            </w:r>
          </w:p>
        </w:tc>
        <w:tc>
          <w:tcPr>
            <w:tcW w:w="987" w:type="pct"/>
            <w:vAlign w:val="center"/>
          </w:tcPr>
          <w:p>
            <w:pPr>
              <w:pStyle w:val="14"/>
              <w:widowControl w:val="0"/>
              <w:spacing w:beforeAutospacing="0" w:afterAutospacing="0"/>
              <w:ind w:firstLine="560"/>
              <w:jc w:val="both"/>
              <w:rPr>
                <w:rFonts w:ascii="Times New Roman" w:hAnsi="Times New Roman" w:eastAsia="仿宋"/>
                <w:kern w:val="2"/>
              </w:rPr>
            </w:pPr>
            <w:r>
              <w:rPr>
                <w:rFonts w:hint="eastAsia"/>
              </w:rPr>
              <w:t>55200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18" w:type="pct"/>
            <w:vMerge w:val="restart"/>
            <w:vAlign w:val="center"/>
          </w:tcPr>
          <w:p>
            <w:pPr>
              <w:widowControl/>
              <w:snapToGrid/>
              <w:ind w:firstLine="0" w:firstLineChars="0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华容区</w:t>
            </w:r>
          </w:p>
        </w:tc>
        <w:tc>
          <w:tcPr>
            <w:tcW w:w="738" w:type="pct"/>
            <w:vAlign w:val="center"/>
          </w:tcPr>
          <w:p>
            <w:pPr>
              <w:pStyle w:val="14"/>
              <w:widowControl w:val="0"/>
              <w:spacing w:beforeAutospacing="0" w:afterAutospacing="0"/>
              <w:ind w:firstLine="560"/>
              <w:jc w:val="both"/>
              <w:rPr>
                <w:rFonts w:ascii="Times New Roman" w:hAnsi="Times New Roman" w:eastAsia="仿宋"/>
                <w:kern w:val="2"/>
              </w:rPr>
            </w:pPr>
            <w:r>
              <w:rPr>
                <w:rFonts w:hint="eastAsia" w:ascii="Times New Roman" w:hAnsi="Times New Roman" w:eastAsia="仿宋"/>
                <w:kern w:val="2"/>
              </w:rPr>
              <w:t>I</w:t>
            </w:r>
          </w:p>
        </w:tc>
        <w:tc>
          <w:tcPr>
            <w:tcW w:w="2557" w:type="pct"/>
            <w:vAlign w:val="center"/>
          </w:tcPr>
          <w:p>
            <w:pPr>
              <w:widowControl/>
              <w:snapToGrid/>
              <w:ind w:firstLine="0" w:firstLineChars="0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庙岭镇、华容镇、</w:t>
            </w:r>
            <w:r>
              <w:rPr>
                <w:rFonts w:hint="eastAsia"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葛店经济技术开发区</w:t>
            </w:r>
          </w:p>
        </w:tc>
        <w:tc>
          <w:tcPr>
            <w:tcW w:w="987" w:type="pct"/>
            <w:vAlign w:val="center"/>
          </w:tcPr>
          <w:p>
            <w:pPr>
              <w:pStyle w:val="14"/>
              <w:widowControl w:val="0"/>
              <w:spacing w:beforeAutospacing="0" w:afterAutospacing="0"/>
              <w:ind w:firstLine="560"/>
              <w:jc w:val="both"/>
              <w:rPr>
                <w:rFonts w:ascii="Times New Roman" w:hAnsi="Times New Roman" w:eastAsia="仿宋"/>
                <w:kern w:val="2"/>
              </w:rPr>
            </w:pPr>
            <w:r>
              <w:rPr>
                <w:rFonts w:hint="eastAsia"/>
              </w:rPr>
              <w:t>60600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18" w:type="pct"/>
            <w:vMerge w:val="continue"/>
            <w:vAlign w:val="center"/>
          </w:tcPr>
          <w:p>
            <w:pPr>
              <w:widowControl/>
              <w:snapToGrid/>
              <w:ind w:firstLine="0" w:firstLineChars="0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>
            <w:pPr>
              <w:pStyle w:val="14"/>
              <w:widowControl w:val="0"/>
              <w:spacing w:beforeAutospacing="0" w:afterAutospacing="0"/>
              <w:ind w:firstLine="560"/>
              <w:jc w:val="both"/>
              <w:rPr>
                <w:rFonts w:ascii="Times New Roman" w:hAnsi="Times New Roman" w:eastAsia="仿宋"/>
                <w:kern w:val="2"/>
              </w:rPr>
            </w:pPr>
            <w:r>
              <w:rPr>
                <w:rFonts w:hint="eastAsia" w:ascii="Times New Roman" w:hAnsi="Times New Roman" w:eastAsia="仿宋"/>
                <w:kern w:val="2"/>
              </w:rPr>
              <w:t>II</w:t>
            </w:r>
          </w:p>
        </w:tc>
        <w:tc>
          <w:tcPr>
            <w:tcW w:w="2557" w:type="pct"/>
            <w:vAlign w:val="center"/>
          </w:tcPr>
          <w:p>
            <w:pPr>
              <w:widowControl/>
              <w:snapToGrid/>
              <w:ind w:firstLine="0" w:firstLineChars="0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段店镇、临江乡、蒲团乡</w:t>
            </w:r>
          </w:p>
        </w:tc>
        <w:tc>
          <w:tcPr>
            <w:tcW w:w="987" w:type="pct"/>
            <w:vAlign w:val="center"/>
          </w:tcPr>
          <w:p>
            <w:pPr>
              <w:pStyle w:val="14"/>
              <w:widowControl w:val="0"/>
              <w:spacing w:beforeAutospacing="0" w:afterAutospacing="0"/>
              <w:ind w:firstLine="560"/>
              <w:jc w:val="both"/>
              <w:rPr>
                <w:rFonts w:ascii="Times New Roman" w:hAnsi="Times New Roman" w:eastAsia="仿宋"/>
                <w:kern w:val="2"/>
              </w:rPr>
            </w:pPr>
            <w:r>
              <w:rPr>
                <w:rFonts w:hint="eastAsia"/>
              </w:rPr>
              <w:t>54700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18" w:type="pct"/>
            <w:vMerge w:val="restart"/>
            <w:vAlign w:val="center"/>
          </w:tcPr>
          <w:p>
            <w:pPr>
              <w:widowControl/>
              <w:snapToGrid/>
              <w:ind w:firstLine="0" w:firstLineChars="0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梁子湖区</w:t>
            </w:r>
          </w:p>
        </w:tc>
        <w:tc>
          <w:tcPr>
            <w:tcW w:w="738" w:type="pct"/>
            <w:vAlign w:val="center"/>
          </w:tcPr>
          <w:p>
            <w:pPr>
              <w:pStyle w:val="14"/>
              <w:widowControl w:val="0"/>
              <w:spacing w:beforeAutospacing="0" w:afterAutospacing="0"/>
              <w:ind w:firstLine="560"/>
              <w:jc w:val="both"/>
              <w:rPr>
                <w:rFonts w:ascii="Times New Roman" w:hAnsi="Times New Roman" w:eastAsia="仿宋"/>
                <w:kern w:val="2"/>
              </w:rPr>
            </w:pPr>
            <w:r>
              <w:rPr>
                <w:rFonts w:hint="eastAsia" w:ascii="Times New Roman" w:hAnsi="Times New Roman" w:eastAsia="仿宋"/>
                <w:kern w:val="2"/>
              </w:rPr>
              <w:t>I</w:t>
            </w:r>
          </w:p>
        </w:tc>
        <w:tc>
          <w:tcPr>
            <w:tcW w:w="2557" w:type="pct"/>
            <w:vAlign w:val="center"/>
          </w:tcPr>
          <w:p>
            <w:pPr>
              <w:widowControl/>
              <w:snapToGrid/>
              <w:ind w:firstLine="0" w:firstLineChars="0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太和镇、东沟镇</w:t>
            </w:r>
          </w:p>
        </w:tc>
        <w:tc>
          <w:tcPr>
            <w:tcW w:w="987" w:type="pct"/>
            <w:vAlign w:val="center"/>
          </w:tcPr>
          <w:p>
            <w:pPr>
              <w:pStyle w:val="14"/>
              <w:widowControl w:val="0"/>
              <w:spacing w:beforeAutospacing="0" w:afterAutospacing="0"/>
              <w:ind w:firstLine="560"/>
              <w:jc w:val="both"/>
              <w:rPr>
                <w:rFonts w:ascii="Times New Roman" w:hAnsi="Times New Roman" w:eastAsia="仿宋"/>
                <w:kern w:val="2"/>
              </w:rPr>
            </w:pPr>
            <w:r>
              <w:rPr>
                <w:rFonts w:hint="eastAsia"/>
              </w:rPr>
              <w:t>52300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718" w:type="pct"/>
            <w:vMerge w:val="continue"/>
            <w:vAlign w:val="center"/>
          </w:tcPr>
          <w:p>
            <w:pPr>
              <w:widowControl/>
              <w:snapToGrid/>
              <w:ind w:firstLine="0" w:firstLineChars="0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>
            <w:pPr>
              <w:pStyle w:val="14"/>
              <w:widowControl w:val="0"/>
              <w:spacing w:beforeAutospacing="0" w:afterAutospacing="0"/>
              <w:ind w:firstLine="560"/>
              <w:jc w:val="both"/>
              <w:rPr>
                <w:rFonts w:ascii="Times New Roman" w:hAnsi="Times New Roman" w:eastAsia="仿宋"/>
                <w:kern w:val="2"/>
              </w:rPr>
            </w:pPr>
            <w:r>
              <w:rPr>
                <w:rFonts w:hint="eastAsia" w:ascii="Times New Roman" w:hAnsi="Times New Roman" w:eastAsia="仿宋"/>
                <w:kern w:val="2"/>
              </w:rPr>
              <w:t>II</w:t>
            </w:r>
          </w:p>
        </w:tc>
        <w:tc>
          <w:tcPr>
            <w:tcW w:w="2557" w:type="pct"/>
            <w:vAlign w:val="center"/>
          </w:tcPr>
          <w:p>
            <w:pPr>
              <w:widowControl/>
              <w:snapToGrid/>
              <w:ind w:firstLine="0" w:firstLineChars="0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沼山镇、梁子镇、涂家垴镇</w:t>
            </w:r>
          </w:p>
        </w:tc>
        <w:tc>
          <w:tcPr>
            <w:tcW w:w="987" w:type="pct"/>
            <w:vAlign w:val="center"/>
          </w:tcPr>
          <w:p>
            <w:pPr>
              <w:pStyle w:val="14"/>
              <w:widowControl w:val="0"/>
              <w:spacing w:beforeAutospacing="0" w:afterAutospacing="0"/>
              <w:ind w:firstLine="560"/>
              <w:jc w:val="both"/>
              <w:rPr>
                <w:rFonts w:ascii="Times New Roman" w:hAnsi="Times New Roman" w:eastAsia="仿宋"/>
                <w:kern w:val="2"/>
              </w:rPr>
            </w:pPr>
            <w:r>
              <w:rPr>
                <w:rFonts w:hint="eastAsia"/>
              </w:rPr>
              <w:t>48300</w:t>
            </w:r>
          </w:p>
        </w:tc>
      </w:tr>
    </w:tbl>
    <w:p>
      <w:pPr>
        <w:ind w:firstLine="560"/>
        <w:rPr>
          <w:rFonts w:hint="eastAsia"/>
        </w:rPr>
      </w:pPr>
    </w:p>
    <w:bookmarkEnd w:id="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20990696"/>
      <w:docPartObj>
        <w:docPartGallery w:val="autotext"/>
      </w:docPartObj>
    </w:sdtPr>
    <w:sdtContent>
      <w:p>
        <w:pPr>
          <w:pStyle w:val="11"/>
          <w:ind w:firstLine="360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11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E90"/>
    <w:rsid w:val="000000C3"/>
    <w:rsid w:val="00016883"/>
    <w:rsid w:val="0002447F"/>
    <w:rsid w:val="00036A55"/>
    <w:rsid w:val="00036F02"/>
    <w:rsid w:val="000478E2"/>
    <w:rsid w:val="00052578"/>
    <w:rsid w:val="00060FD1"/>
    <w:rsid w:val="00062785"/>
    <w:rsid w:val="0008516B"/>
    <w:rsid w:val="000926AA"/>
    <w:rsid w:val="0009480F"/>
    <w:rsid w:val="000B58CC"/>
    <w:rsid w:val="000C471A"/>
    <w:rsid w:val="000E326B"/>
    <w:rsid w:val="000E4B03"/>
    <w:rsid w:val="000F02C7"/>
    <w:rsid w:val="00101130"/>
    <w:rsid w:val="00136D87"/>
    <w:rsid w:val="00154FF1"/>
    <w:rsid w:val="00166A0B"/>
    <w:rsid w:val="00173C2C"/>
    <w:rsid w:val="00182794"/>
    <w:rsid w:val="001913F8"/>
    <w:rsid w:val="001A25C3"/>
    <w:rsid w:val="001A3E11"/>
    <w:rsid w:val="001B2D30"/>
    <w:rsid w:val="001E272F"/>
    <w:rsid w:val="001E69A0"/>
    <w:rsid w:val="001F614B"/>
    <w:rsid w:val="0020693E"/>
    <w:rsid w:val="00213D21"/>
    <w:rsid w:val="0022516A"/>
    <w:rsid w:val="00243067"/>
    <w:rsid w:val="0025464D"/>
    <w:rsid w:val="002546E5"/>
    <w:rsid w:val="002617D7"/>
    <w:rsid w:val="00270668"/>
    <w:rsid w:val="0028693D"/>
    <w:rsid w:val="00293F69"/>
    <w:rsid w:val="002B5060"/>
    <w:rsid w:val="002C00C3"/>
    <w:rsid w:val="002C12BC"/>
    <w:rsid w:val="002C7C61"/>
    <w:rsid w:val="002D4EFA"/>
    <w:rsid w:val="002F157C"/>
    <w:rsid w:val="002F321D"/>
    <w:rsid w:val="002F4108"/>
    <w:rsid w:val="00304565"/>
    <w:rsid w:val="00305068"/>
    <w:rsid w:val="00305089"/>
    <w:rsid w:val="00307279"/>
    <w:rsid w:val="00307FB9"/>
    <w:rsid w:val="0032143F"/>
    <w:rsid w:val="00325BAA"/>
    <w:rsid w:val="00327E9A"/>
    <w:rsid w:val="00335D0E"/>
    <w:rsid w:val="00345390"/>
    <w:rsid w:val="00366097"/>
    <w:rsid w:val="00391986"/>
    <w:rsid w:val="003A65AA"/>
    <w:rsid w:val="003D0C42"/>
    <w:rsid w:val="003D7946"/>
    <w:rsid w:val="003E2D5A"/>
    <w:rsid w:val="003F1B5E"/>
    <w:rsid w:val="003F45F5"/>
    <w:rsid w:val="00400937"/>
    <w:rsid w:val="00412180"/>
    <w:rsid w:val="00424477"/>
    <w:rsid w:val="0042568F"/>
    <w:rsid w:val="0043233D"/>
    <w:rsid w:val="004378A1"/>
    <w:rsid w:val="00437E6B"/>
    <w:rsid w:val="00444508"/>
    <w:rsid w:val="00456621"/>
    <w:rsid w:val="004631C4"/>
    <w:rsid w:val="004644BE"/>
    <w:rsid w:val="00475ED0"/>
    <w:rsid w:val="00476066"/>
    <w:rsid w:val="00486CB2"/>
    <w:rsid w:val="004870A7"/>
    <w:rsid w:val="0049753A"/>
    <w:rsid w:val="004A1E9F"/>
    <w:rsid w:val="004B0E4E"/>
    <w:rsid w:val="004B169F"/>
    <w:rsid w:val="004D476F"/>
    <w:rsid w:val="004F1CCD"/>
    <w:rsid w:val="004F35D3"/>
    <w:rsid w:val="004F7B08"/>
    <w:rsid w:val="0050116F"/>
    <w:rsid w:val="0051009A"/>
    <w:rsid w:val="005241AF"/>
    <w:rsid w:val="0053186B"/>
    <w:rsid w:val="0053293F"/>
    <w:rsid w:val="00532EA2"/>
    <w:rsid w:val="00535721"/>
    <w:rsid w:val="00563B45"/>
    <w:rsid w:val="005779DA"/>
    <w:rsid w:val="005910E7"/>
    <w:rsid w:val="00594F2B"/>
    <w:rsid w:val="005A2B8B"/>
    <w:rsid w:val="005A4B22"/>
    <w:rsid w:val="005B2BD2"/>
    <w:rsid w:val="005B44BF"/>
    <w:rsid w:val="005C091D"/>
    <w:rsid w:val="005C71BF"/>
    <w:rsid w:val="006069EC"/>
    <w:rsid w:val="00607B1A"/>
    <w:rsid w:val="00626126"/>
    <w:rsid w:val="00630E90"/>
    <w:rsid w:val="006368B8"/>
    <w:rsid w:val="00643968"/>
    <w:rsid w:val="00657F99"/>
    <w:rsid w:val="00660AC5"/>
    <w:rsid w:val="0068292A"/>
    <w:rsid w:val="00686379"/>
    <w:rsid w:val="006A0D0A"/>
    <w:rsid w:val="006B07A4"/>
    <w:rsid w:val="006B4F97"/>
    <w:rsid w:val="006C3924"/>
    <w:rsid w:val="006C7EB2"/>
    <w:rsid w:val="006D187B"/>
    <w:rsid w:val="006D2B51"/>
    <w:rsid w:val="006D514C"/>
    <w:rsid w:val="006F1855"/>
    <w:rsid w:val="00702CB3"/>
    <w:rsid w:val="007541B6"/>
    <w:rsid w:val="007645ED"/>
    <w:rsid w:val="007849DD"/>
    <w:rsid w:val="007A7DEF"/>
    <w:rsid w:val="007B63D0"/>
    <w:rsid w:val="007C07C5"/>
    <w:rsid w:val="008046EE"/>
    <w:rsid w:val="00805E8B"/>
    <w:rsid w:val="0081162D"/>
    <w:rsid w:val="00833D35"/>
    <w:rsid w:val="0084084D"/>
    <w:rsid w:val="00841903"/>
    <w:rsid w:val="00844C07"/>
    <w:rsid w:val="00856F80"/>
    <w:rsid w:val="00862787"/>
    <w:rsid w:val="008655B8"/>
    <w:rsid w:val="0088641A"/>
    <w:rsid w:val="008868A5"/>
    <w:rsid w:val="008A6F77"/>
    <w:rsid w:val="008D51EE"/>
    <w:rsid w:val="008E5370"/>
    <w:rsid w:val="008E62C9"/>
    <w:rsid w:val="008F68C8"/>
    <w:rsid w:val="0090469C"/>
    <w:rsid w:val="009106CF"/>
    <w:rsid w:val="009226EC"/>
    <w:rsid w:val="00923943"/>
    <w:rsid w:val="00953D6C"/>
    <w:rsid w:val="009766E3"/>
    <w:rsid w:val="00981B25"/>
    <w:rsid w:val="00986A73"/>
    <w:rsid w:val="00987141"/>
    <w:rsid w:val="00990744"/>
    <w:rsid w:val="009A1C36"/>
    <w:rsid w:val="009B5F14"/>
    <w:rsid w:val="009C091A"/>
    <w:rsid w:val="009C7C3B"/>
    <w:rsid w:val="009D4FDB"/>
    <w:rsid w:val="009E5E16"/>
    <w:rsid w:val="00A02497"/>
    <w:rsid w:val="00A04371"/>
    <w:rsid w:val="00A13C8C"/>
    <w:rsid w:val="00A2462B"/>
    <w:rsid w:val="00A52F3E"/>
    <w:rsid w:val="00A77BBF"/>
    <w:rsid w:val="00A84464"/>
    <w:rsid w:val="00A968B5"/>
    <w:rsid w:val="00AB7637"/>
    <w:rsid w:val="00B033F9"/>
    <w:rsid w:val="00B15369"/>
    <w:rsid w:val="00B161CC"/>
    <w:rsid w:val="00B40731"/>
    <w:rsid w:val="00B67876"/>
    <w:rsid w:val="00B71947"/>
    <w:rsid w:val="00B72DB7"/>
    <w:rsid w:val="00B80091"/>
    <w:rsid w:val="00B87A3A"/>
    <w:rsid w:val="00B93747"/>
    <w:rsid w:val="00B93D22"/>
    <w:rsid w:val="00BA0452"/>
    <w:rsid w:val="00BA71C1"/>
    <w:rsid w:val="00BA7CA4"/>
    <w:rsid w:val="00BB21CE"/>
    <w:rsid w:val="00BC5014"/>
    <w:rsid w:val="00BE3345"/>
    <w:rsid w:val="00BE5AF6"/>
    <w:rsid w:val="00BF2070"/>
    <w:rsid w:val="00C04B47"/>
    <w:rsid w:val="00C05719"/>
    <w:rsid w:val="00C14F93"/>
    <w:rsid w:val="00C31D20"/>
    <w:rsid w:val="00C330F0"/>
    <w:rsid w:val="00C52F43"/>
    <w:rsid w:val="00C66BCB"/>
    <w:rsid w:val="00C73C45"/>
    <w:rsid w:val="00C74FA8"/>
    <w:rsid w:val="00C857AE"/>
    <w:rsid w:val="00C9700A"/>
    <w:rsid w:val="00CB12A1"/>
    <w:rsid w:val="00CB272F"/>
    <w:rsid w:val="00CC3EB2"/>
    <w:rsid w:val="00CC5363"/>
    <w:rsid w:val="00CD3D72"/>
    <w:rsid w:val="00CE4F4A"/>
    <w:rsid w:val="00CF5AE7"/>
    <w:rsid w:val="00CF6BE5"/>
    <w:rsid w:val="00CF6ED1"/>
    <w:rsid w:val="00CF7AAB"/>
    <w:rsid w:val="00D074BD"/>
    <w:rsid w:val="00D10038"/>
    <w:rsid w:val="00D247FD"/>
    <w:rsid w:val="00D304BE"/>
    <w:rsid w:val="00D44EFA"/>
    <w:rsid w:val="00D46617"/>
    <w:rsid w:val="00D53CEA"/>
    <w:rsid w:val="00D632EA"/>
    <w:rsid w:val="00D71910"/>
    <w:rsid w:val="00D824F1"/>
    <w:rsid w:val="00D8664F"/>
    <w:rsid w:val="00D90EAC"/>
    <w:rsid w:val="00D9570B"/>
    <w:rsid w:val="00DA1394"/>
    <w:rsid w:val="00DA5CA5"/>
    <w:rsid w:val="00DB6718"/>
    <w:rsid w:val="00DD2C32"/>
    <w:rsid w:val="00DE511A"/>
    <w:rsid w:val="00DE73B0"/>
    <w:rsid w:val="00DF08C7"/>
    <w:rsid w:val="00E11A9E"/>
    <w:rsid w:val="00E24BE4"/>
    <w:rsid w:val="00E33EF2"/>
    <w:rsid w:val="00E37AD7"/>
    <w:rsid w:val="00E42CC9"/>
    <w:rsid w:val="00E522C8"/>
    <w:rsid w:val="00E54CF2"/>
    <w:rsid w:val="00E60860"/>
    <w:rsid w:val="00E72AB4"/>
    <w:rsid w:val="00E81E7C"/>
    <w:rsid w:val="00E82B85"/>
    <w:rsid w:val="00E91D38"/>
    <w:rsid w:val="00EC2441"/>
    <w:rsid w:val="00EC6AEB"/>
    <w:rsid w:val="00EE0E3C"/>
    <w:rsid w:val="00EE1DCD"/>
    <w:rsid w:val="00EE1E22"/>
    <w:rsid w:val="00F00B6F"/>
    <w:rsid w:val="00F15179"/>
    <w:rsid w:val="00F275ED"/>
    <w:rsid w:val="00F35CAD"/>
    <w:rsid w:val="00F403F8"/>
    <w:rsid w:val="00F45D80"/>
    <w:rsid w:val="00F52E08"/>
    <w:rsid w:val="00F5338C"/>
    <w:rsid w:val="00F64B1A"/>
    <w:rsid w:val="00F7119B"/>
    <w:rsid w:val="00F72A62"/>
    <w:rsid w:val="00F72BA6"/>
    <w:rsid w:val="00F814FD"/>
    <w:rsid w:val="00F82A0F"/>
    <w:rsid w:val="00FA3F65"/>
    <w:rsid w:val="00FC0792"/>
    <w:rsid w:val="00FD3000"/>
    <w:rsid w:val="00FD7040"/>
    <w:rsid w:val="00FF680B"/>
    <w:rsid w:val="02FBFFED"/>
    <w:rsid w:val="26C29384"/>
    <w:rsid w:val="2FDB6EE3"/>
    <w:rsid w:val="2FF8DCA7"/>
    <w:rsid w:val="37A6CD8B"/>
    <w:rsid w:val="39AF9974"/>
    <w:rsid w:val="39FE1B07"/>
    <w:rsid w:val="3E5FCADA"/>
    <w:rsid w:val="3FDF62B8"/>
    <w:rsid w:val="46B7E090"/>
    <w:rsid w:val="5F882803"/>
    <w:rsid w:val="6BB6D9C6"/>
    <w:rsid w:val="6EEF1DFB"/>
    <w:rsid w:val="76F79DB4"/>
    <w:rsid w:val="7B3F98D9"/>
    <w:rsid w:val="7FBB1D88"/>
    <w:rsid w:val="87F7F289"/>
    <w:rsid w:val="97F6F870"/>
    <w:rsid w:val="B7F74BBE"/>
    <w:rsid w:val="BF5DA620"/>
    <w:rsid w:val="BF777242"/>
    <w:rsid w:val="CBF531AB"/>
    <w:rsid w:val="CEEFCACD"/>
    <w:rsid w:val="CFEA2A91"/>
    <w:rsid w:val="E5D4E30E"/>
    <w:rsid w:val="E8767B90"/>
    <w:rsid w:val="ED98B8AA"/>
    <w:rsid w:val="EEBCA21F"/>
    <w:rsid w:val="EEBD1CCB"/>
    <w:rsid w:val="EEEF13BB"/>
    <w:rsid w:val="EFF3AF01"/>
    <w:rsid w:val="FDE74EE9"/>
    <w:rsid w:val="FFEB3C70"/>
    <w:rsid w:val="FFF64C39"/>
    <w:rsid w:val="FFFF0CDA"/>
    <w:rsid w:val="FFFF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after="0" w:line="240" w:lineRule="auto"/>
      <w:ind w:firstLine="964" w:firstLineChars="200"/>
      <w:jc w:val="both"/>
    </w:pPr>
    <w:rPr>
      <w:rFonts w:eastAsia="仿宋" w:asciiTheme="minorHAnsi" w:hAnsiTheme="minorHAnsi" w:cstheme="minorBidi"/>
      <w:kern w:val="2"/>
      <w:sz w:val="28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ind w:firstLine="964" w:firstLineChars="20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unhideWhenUsed/>
    <w:qFormat/>
    <w:uiPriority w:val="99"/>
    <w:pPr>
      <w:widowControl/>
      <w:snapToGrid/>
      <w:spacing w:beforeAutospacing="1" w:afterAutospacing="1"/>
      <w:ind w:firstLine="0" w:firstLineChars="0"/>
      <w:jc w:val="left"/>
    </w:pPr>
    <w:rPr>
      <w:rFonts w:ascii="宋体" w:hAnsi="宋体" w:eastAsia="宋体" w:cs="Times New Roman"/>
      <w:kern w:val="0"/>
      <w:sz w:val="24"/>
      <w:szCs w:val="24"/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  <w:style w:type="character" w:customStyle="1" w:styleId="39">
    <w:name w:val="Unresolved Mention"/>
    <w:basedOn w:val="1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</Words>
  <Characters>753</Characters>
  <Lines>1</Lines>
  <Paragraphs>1</Paragraphs>
  <TotalTime>0</TotalTime>
  <ScaleCrop>false</ScaleCrop>
  <LinksUpToDate>false</LinksUpToDate>
  <CharactersWithSpaces>883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2026-07-28T23:14:00Z</dcterms:created>
  <dc:creator>小欢 刘</dc:creator>
  <cp:lastModifiedBy>inspur-557</cp:lastModifiedBy>
  <dcterms:modified xsi:type="dcterms:W3CDTF">2026-08-10T11:06:00Z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14117A7F4A079BE3AD50706AB1DCAB1C_42</vt:lpwstr>
  </property>
</Properties>
</file>