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B2EF064">
      <w:pPr>
        <w:rPr>
          <w:rFonts w:ascii="仿宋_GB2312" w:eastAsia="仿宋_GB2312" w:cstheme="minorBidi"/>
          <w:sz w:val="30"/>
          <w:szCs w:val="30"/>
        </w:rPr>
      </w:pPr>
      <w:r>
        <w:rPr>
          <w:rFonts w:hint="eastAsia" w:ascii="仿宋_GB2312" w:eastAsia="仿宋_GB2312" w:cstheme="minorBidi"/>
          <w:sz w:val="30"/>
          <w:szCs w:val="30"/>
        </w:rPr>
        <w:t>鄂州市公示地价体系建设项目</w:t>
      </w:r>
    </w:p>
    <w:p w14:paraId="02E8A547">
      <w:pPr>
        <w:widowControl w:val="0"/>
        <w:spacing w:line="480" w:lineRule="auto"/>
        <w:jc w:val="center"/>
        <w:rPr>
          <w:rFonts w:ascii="黑体" w:hAnsi="黑体" w:eastAsia="黑体"/>
          <w:b/>
          <w:sz w:val="52"/>
          <w:szCs w:val="52"/>
        </w:rPr>
      </w:pPr>
    </w:p>
    <w:p w14:paraId="5B81A223">
      <w:pPr>
        <w:widowControl w:val="0"/>
        <w:spacing w:line="480" w:lineRule="auto"/>
        <w:jc w:val="center"/>
        <w:rPr>
          <w:rFonts w:ascii="黑体" w:hAnsi="黑体" w:eastAsia="黑体"/>
          <w:b/>
          <w:sz w:val="52"/>
          <w:szCs w:val="52"/>
        </w:rPr>
      </w:pPr>
    </w:p>
    <w:p w14:paraId="1D067234">
      <w:pPr>
        <w:widowControl w:val="0"/>
        <w:spacing w:line="480" w:lineRule="auto"/>
        <w:jc w:val="center"/>
        <w:rPr>
          <w:rFonts w:ascii="黑体" w:hAnsi="黑体" w:eastAsia="黑体"/>
          <w:b/>
          <w:sz w:val="52"/>
          <w:szCs w:val="52"/>
        </w:rPr>
      </w:pPr>
      <w:r>
        <w:rPr>
          <w:rFonts w:ascii="黑体" w:hAnsi="黑体" w:eastAsia="黑体"/>
          <w:b/>
          <w:sz w:val="52"/>
          <w:szCs w:val="52"/>
        </w:rPr>
        <w:t>鄂州市国有农用地</w:t>
      </w:r>
      <w:r>
        <w:rPr>
          <w:rFonts w:hint="eastAsia" w:ascii="黑体" w:hAnsi="黑体" w:eastAsia="黑体"/>
          <w:b/>
          <w:sz w:val="52"/>
          <w:szCs w:val="52"/>
        </w:rPr>
        <w:t>级别与</w:t>
      </w:r>
    </w:p>
    <w:p w14:paraId="3CC1A032">
      <w:pPr>
        <w:widowControl w:val="0"/>
        <w:spacing w:line="480" w:lineRule="auto"/>
        <w:jc w:val="center"/>
        <w:rPr>
          <w:rFonts w:ascii="黑体" w:hAnsi="黑体" w:eastAsia="黑体"/>
          <w:b/>
          <w:sz w:val="52"/>
          <w:szCs w:val="52"/>
        </w:rPr>
      </w:pPr>
      <w:r>
        <w:rPr>
          <w:rFonts w:ascii="黑体" w:hAnsi="黑体" w:eastAsia="黑体"/>
          <w:b/>
          <w:sz w:val="52"/>
          <w:szCs w:val="52"/>
        </w:rPr>
        <w:t>基准地价评估</w:t>
      </w:r>
    </w:p>
    <w:p w14:paraId="01689237">
      <w:pPr>
        <w:widowControl w:val="0"/>
        <w:spacing w:line="480" w:lineRule="auto"/>
        <w:jc w:val="center"/>
        <w:rPr>
          <w:rFonts w:ascii="黑体" w:hAnsi="黑体" w:eastAsia="黑体"/>
          <w:b/>
          <w:sz w:val="52"/>
          <w:szCs w:val="52"/>
        </w:rPr>
      </w:pPr>
    </w:p>
    <w:p w14:paraId="0C74491F">
      <w:pPr>
        <w:widowControl w:val="0"/>
        <w:spacing w:line="480" w:lineRule="auto"/>
        <w:jc w:val="center"/>
        <w:rPr>
          <w:rFonts w:ascii="黑体" w:hAnsi="黑体" w:eastAsia="黑体"/>
          <w:b/>
          <w:sz w:val="52"/>
          <w:szCs w:val="52"/>
        </w:rPr>
      </w:pPr>
      <w:r>
        <w:rPr>
          <w:rFonts w:hint="eastAsia" w:ascii="黑体" w:hAnsi="黑体" w:eastAsia="黑体"/>
          <w:b/>
          <w:sz w:val="52"/>
          <w:szCs w:val="52"/>
        </w:rPr>
        <w:t>成</w:t>
      </w:r>
    </w:p>
    <w:p w14:paraId="4F2C8253">
      <w:pPr>
        <w:widowControl w:val="0"/>
        <w:spacing w:line="480" w:lineRule="auto"/>
        <w:jc w:val="center"/>
        <w:rPr>
          <w:rFonts w:ascii="黑体" w:hAnsi="黑体" w:eastAsia="黑体"/>
          <w:b/>
          <w:sz w:val="52"/>
          <w:szCs w:val="52"/>
        </w:rPr>
      </w:pPr>
      <w:r>
        <w:rPr>
          <w:rFonts w:hint="eastAsia" w:ascii="黑体" w:hAnsi="黑体" w:eastAsia="黑体"/>
          <w:b/>
          <w:sz w:val="52"/>
          <w:szCs w:val="52"/>
        </w:rPr>
        <w:t>果</w:t>
      </w:r>
    </w:p>
    <w:p w14:paraId="79E23FB6">
      <w:pPr>
        <w:widowControl w:val="0"/>
        <w:spacing w:line="480" w:lineRule="auto"/>
        <w:jc w:val="center"/>
        <w:rPr>
          <w:rFonts w:ascii="黑体" w:hAnsi="黑体" w:eastAsia="黑体"/>
          <w:b/>
          <w:sz w:val="52"/>
          <w:szCs w:val="52"/>
        </w:rPr>
      </w:pPr>
      <w:r>
        <w:rPr>
          <w:rFonts w:hint="eastAsia" w:ascii="黑体" w:hAnsi="黑体" w:eastAsia="黑体"/>
          <w:b/>
          <w:sz w:val="52"/>
          <w:szCs w:val="52"/>
        </w:rPr>
        <w:t xml:space="preserve">报 </w:t>
      </w:r>
    </w:p>
    <w:p w14:paraId="0120B47E">
      <w:pPr>
        <w:widowControl w:val="0"/>
        <w:spacing w:line="480" w:lineRule="auto"/>
        <w:jc w:val="center"/>
        <w:rPr>
          <w:rFonts w:ascii="黑体" w:hAnsi="黑体" w:eastAsia="黑体"/>
          <w:b/>
          <w:sz w:val="52"/>
          <w:szCs w:val="52"/>
        </w:rPr>
      </w:pPr>
      <w:r>
        <w:rPr>
          <w:rFonts w:hint="eastAsia" w:ascii="黑体" w:hAnsi="黑体" w:eastAsia="黑体"/>
          <w:b/>
          <w:sz w:val="52"/>
          <w:szCs w:val="52"/>
        </w:rPr>
        <w:t>告</w:t>
      </w:r>
    </w:p>
    <w:p w14:paraId="65D4AA36">
      <w:pPr>
        <w:spacing w:line="480" w:lineRule="auto"/>
      </w:pPr>
    </w:p>
    <w:p w14:paraId="0F412FB6">
      <w:pPr>
        <w:spacing w:line="480" w:lineRule="auto"/>
      </w:pPr>
    </w:p>
    <w:p w14:paraId="09408201">
      <w:pPr>
        <w:spacing w:line="480" w:lineRule="auto"/>
      </w:pPr>
    </w:p>
    <w:p w14:paraId="4284F745">
      <w:pPr>
        <w:spacing w:line="480" w:lineRule="auto"/>
      </w:pPr>
    </w:p>
    <w:p w14:paraId="67C67254">
      <w:pPr>
        <w:widowControl w:val="0"/>
        <w:spacing w:line="480" w:lineRule="auto"/>
        <w:jc w:val="center"/>
        <w:rPr>
          <w:b/>
          <w:bCs/>
          <w:sz w:val="36"/>
        </w:rPr>
      </w:pPr>
      <w:r>
        <w:rPr>
          <w:b/>
          <w:bCs/>
          <w:sz w:val="36"/>
        </w:rPr>
        <w:t>鄂州市</w:t>
      </w:r>
      <w:r>
        <w:rPr>
          <w:rFonts w:hint="eastAsia"/>
          <w:b/>
          <w:bCs/>
          <w:sz w:val="36"/>
        </w:rPr>
        <w:t>自然资源和规划局</w:t>
      </w:r>
    </w:p>
    <w:p w14:paraId="2E1EEB52">
      <w:pPr>
        <w:widowControl w:val="0"/>
        <w:spacing w:line="480" w:lineRule="auto"/>
        <w:jc w:val="center"/>
        <w:rPr>
          <w:b/>
          <w:bCs/>
          <w:sz w:val="36"/>
        </w:rPr>
      </w:pPr>
      <w:r>
        <w:rPr>
          <w:b/>
          <w:bCs/>
          <w:sz w:val="36"/>
        </w:rPr>
        <w:t>中国地质大学（武汉）</w:t>
      </w:r>
    </w:p>
    <w:p w14:paraId="1178D198">
      <w:pPr>
        <w:widowControl w:val="0"/>
        <w:spacing w:line="480" w:lineRule="auto"/>
        <w:jc w:val="center"/>
        <w:rPr>
          <w:b/>
          <w:bCs/>
          <w:sz w:val="36"/>
        </w:rPr>
      </w:pPr>
      <w:r>
        <w:rPr>
          <w:b/>
          <w:bCs/>
          <w:sz w:val="36"/>
        </w:rPr>
        <w:t>二〇一</w:t>
      </w:r>
      <w:r>
        <w:rPr>
          <w:rFonts w:hint="eastAsia"/>
          <w:b/>
          <w:bCs/>
          <w:sz w:val="36"/>
        </w:rPr>
        <w:t>九</w:t>
      </w:r>
      <w:r>
        <w:rPr>
          <w:b/>
          <w:bCs/>
          <w:sz w:val="36"/>
        </w:rPr>
        <w:t>年</w:t>
      </w:r>
      <w:r>
        <w:rPr>
          <w:rFonts w:hint="eastAsia"/>
          <w:b/>
          <w:bCs/>
          <w:sz w:val="36"/>
        </w:rPr>
        <w:t>十二</w:t>
      </w:r>
      <w:r>
        <w:rPr>
          <w:b/>
          <w:bCs/>
          <w:sz w:val="36"/>
        </w:rPr>
        <w:t>月</w:t>
      </w:r>
    </w:p>
    <w:p w14:paraId="21D6B8F9">
      <w:pPr>
        <w:rPr>
          <w:b/>
          <w:bCs/>
          <w:sz w:val="36"/>
        </w:rPr>
      </w:pPr>
      <w:r>
        <w:rPr>
          <w:b/>
          <w:bCs/>
          <w:sz w:val="36"/>
        </w:rPr>
        <w:br w:type="page"/>
      </w:r>
    </w:p>
    <w:p w14:paraId="7F9F9528">
      <w:pPr>
        <w:jc w:val="center"/>
        <w:rPr>
          <w:b/>
          <w:bCs/>
          <w:sz w:val="36"/>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p>
    <w:sdt>
      <w:sdtPr>
        <w:rPr>
          <w:rFonts w:ascii="Times New Roman" w:hAnsi="Times New Roman"/>
          <w:b w:val="0"/>
          <w:bCs w:val="0"/>
          <w:color w:val="auto"/>
          <w:kern w:val="2"/>
          <w:sz w:val="21"/>
          <w:szCs w:val="24"/>
          <w:lang w:val="zh-CN"/>
        </w:rPr>
        <w:id w:val="-2144641451"/>
        <w:docPartObj>
          <w:docPartGallery w:val="Table of Contents"/>
          <w:docPartUnique/>
        </w:docPartObj>
      </w:sdtPr>
      <w:sdtEndPr>
        <w:rPr>
          <w:rFonts w:ascii="Times New Roman" w:hAnsi="Times New Roman"/>
          <w:b w:val="0"/>
          <w:bCs w:val="0"/>
          <w:color w:val="auto"/>
          <w:kern w:val="2"/>
          <w:sz w:val="21"/>
          <w:szCs w:val="24"/>
          <w:lang w:val="zh-CN"/>
        </w:rPr>
      </w:sdtEndPr>
      <w:sdtContent>
        <w:p w14:paraId="6C6E22F4">
          <w:pPr>
            <w:pStyle w:val="58"/>
            <w:ind w:firstLine="420"/>
            <w:jc w:val="center"/>
            <w:rPr>
              <w:rFonts w:ascii="Times New Roman" w:hAnsi="Times New Roman"/>
              <w:color w:val="000000"/>
              <w:sz w:val="32"/>
              <w:lang w:val="zh-CN"/>
            </w:rPr>
          </w:pPr>
          <w:r>
            <w:rPr>
              <w:rFonts w:ascii="Times New Roman" w:hAnsi="Times New Roman"/>
              <w:color w:val="000000"/>
              <w:sz w:val="32"/>
              <w:lang w:val="zh-CN"/>
            </w:rPr>
            <w:t>目录</w:t>
          </w:r>
        </w:p>
        <w:p w14:paraId="78F39418">
          <w:pPr>
            <w:pStyle w:val="27"/>
            <w:rPr>
              <w:rFonts w:asciiTheme="minorHAnsi" w:hAnsiTheme="minorHAnsi" w:eastAsiaTheme="minorEastAsia" w:cstheme="minorBidi"/>
              <w:b w:val="0"/>
              <w:bCs w:val="0"/>
              <w:iCs w:val="0"/>
              <w:sz w:val="21"/>
              <w:szCs w:val="22"/>
            </w:rPr>
          </w:pPr>
          <w:r>
            <w:rPr>
              <w:rFonts w:ascii="Times New Roman" w:hAnsi="Times New Roman"/>
              <w:lang w:val="zh-CN"/>
            </w:rPr>
            <w:fldChar w:fldCharType="begin"/>
          </w:r>
          <w:r>
            <w:rPr>
              <w:rFonts w:ascii="Times New Roman" w:hAnsi="Times New Roman"/>
              <w:lang w:val="zh-CN"/>
            </w:rPr>
            <w:instrText xml:space="preserve"> TOC \o "1-3" \h \z \u </w:instrText>
          </w:r>
          <w:r>
            <w:rPr>
              <w:rFonts w:ascii="Times New Roman" w:hAnsi="Times New Roman"/>
              <w:lang w:val="zh-CN"/>
            </w:rPr>
            <w:fldChar w:fldCharType="separate"/>
          </w:r>
          <w:r>
            <w:fldChar w:fldCharType="begin"/>
          </w:r>
          <w:r>
            <w:instrText xml:space="preserve"> HYPERLINK \l "_Toc47384577" </w:instrText>
          </w:r>
          <w:r>
            <w:fldChar w:fldCharType="separate"/>
          </w:r>
          <w:r>
            <w:rPr>
              <w:rStyle w:val="46"/>
              <w:rFonts w:hint="eastAsia" w:ascii="黑体" w:hAnsi="黑体" w:eastAsia="黑体"/>
            </w:rPr>
            <w:t>第一章概况</w:t>
          </w:r>
          <w:r>
            <w:tab/>
          </w:r>
          <w:r>
            <w:fldChar w:fldCharType="begin"/>
          </w:r>
          <w:r>
            <w:instrText xml:space="preserve"> PAGEREF _Toc47384577 \h </w:instrText>
          </w:r>
          <w:r>
            <w:fldChar w:fldCharType="separate"/>
          </w:r>
          <w:r>
            <w:t>1</w:t>
          </w:r>
          <w:r>
            <w:fldChar w:fldCharType="end"/>
          </w:r>
          <w:r>
            <w:fldChar w:fldCharType="end"/>
          </w:r>
        </w:p>
        <w:p w14:paraId="71212EF5">
          <w:pPr>
            <w:pStyle w:val="33"/>
            <w:tabs>
              <w:tab w:val="right" w:leader="dot" w:pos="8296"/>
            </w:tabs>
            <w:rPr>
              <w:rFonts w:asciiTheme="minorHAnsi" w:hAnsiTheme="minorHAnsi" w:eastAsiaTheme="minorEastAsia" w:cstheme="minorBidi"/>
              <w:szCs w:val="22"/>
            </w:rPr>
          </w:pPr>
          <w:r>
            <w:fldChar w:fldCharType="begin"/>
          </w:r>
          <w:r>
            <w:instrText xml:space="preserve"> HYPERLINK \l "_Toc47384578" </w:instrText>
          </w:r>
          <w:r>
            <w:fldChar w:fldCharType="separate"/>
          </w:r>
          <w:r>
            <w:rPr>
              <w:rStyle w:val="46"/>
              <w:rFonts w:ascii="宋体" w:hAnsi="宋体"/>
              <w:bCs/>
            </w:rPr>
            <w:t xml:space="preserve">1.1 </w:t>
          </w:r>
          <w:r>
            <w:rPr>
              <w:rStyle w:val="46"/>
              <w:rFonts w:hint="eastAsia" w:ascii="宋体" w:hAnsi="宋体"/>
              <w:bCs/>
            </w:rPr>
            <w:t>鄂州市概况</w:t>
          </w:r>
          <w:r>
            <w:tab/>
          </w:r>
          <w:r>
            <w:fldChar w:fldCharType="begin"/>
          </w:r>
          <w:r>
            <w:instrText xml:space="preserve"> PAGEREF _Toc47384578 \h </w:instrText>
          </w:r>
          <w:r>
            <w:fldChar w:fldCharType="separate"/>
          </w:r>
          <w:r>
            <w:t>1</w:t>
          </w:r>
          <w:r>
            <w:fldChar w:fldCharType="end"/>
          </w:r>
          <w:r>
            <w:fldChar w:fldCharType="end"/>
          </w:r>
        </w:p>
        <w:p w14:paraId="6AED22B4">
          <w:pPr>
            <w:pStyle w:val="19"/>
            <w:ind w:left="709"/>
            <w:rPr>
              <w:rFonts w:asciiTheme="minorHAnsi" w:hAnsiTheme="minorHAnsi" w:eastAsiaTheme="minorEastAsia" w:cstheme="minorBidi"/>
              <w:sz w:val="21"/>
              <w:szCs w:val="22"/>
            </w:rPr>
          </w:pPr>
          <w:r>
            <w:fldChar w:fldCharType="begin"/>
          </w:r>
          <w:r>
            <w:instrText xml:space="preserve"> HYPERLINK \l "_Toc47384579" </w:instrText>
          </w:r>
          <w:r>
            <w:fldChar w:fldCharType="separate"/>
          </w:r>
          <w:r>
            <w:rPr>
              <w:rStyle w:val="46"/>
              <w:rFonts w:ascii="宋体" w:hAnsi="宋体"/>
            </w:rPr>
            <w:t xml:space="preserve">1.1.1 </w:t>
          </w:r>
          <w:r>
            <w:rPr>
              <w:rStyle w:val="46"/>
              <w:rFonts w:hint="eastAsia" w:ascii="宋体" w:hAnsi="宋体"/>
            </w:rPr>
            <w:t>地理位置</w:t>
          </w:r>
          <w:r>
            <w:tab/>
          </w:r>
          <w:r>
            <w:fldChar w:fldCharType="begin"/>
          </w:r>
          <w:r>
            <w:instrText xml:space="preserve"> PAGEREF _Toc47384579 \h </w:instrText>
          </w:r>
          <w:r>
            <w:fldChar w:fldCharType="separate"/>
          </w:r>
          <w:r>
            <w:t>1</w:t>
          </w:r>
          <w:r>
            <w:fldChar w:fldCharType="end"/>
          </w:r>
          <w:r>
            <w:fldChar w:fldCharType="end"/>
          </w:r>
        </w:p>
        <w:p w14:paraId="155E384A">
          <w:pPr>
            <w:pStyle w:val="19"/>
            <w:ind w:left="709"/>
            <w:rPr>
              <w:rFonts w:asciiTheme="minorHAnsi" w:hAnsiTheme="minorHAnsi" w:eastAsiaTheme="minorEastAsia" w:cstheme="minorBidi"/>
              <w:sz w:val="21"/>
              <w:szCs w:val="22"/>
            </w:rPr>
          </w:pPr>
          <w:r>
            <w:fldChar w:fldCharType="begin"/>
          </w:r>
          <w:r>
            <w:instrText xml:space="preserve"> HYPERLINK \l "_Toc47384580" </w:instrText>
          </w:r>
          <w:r>
            <w:fldChar w:fldCharType="separate"/>
          </w:r>
          <w:r>
            <w:rPr>
              <w:rStyle w:val="46"/>
              <w:rFonts w:ascii="宋体" w:hAnsi="宋体"/>
            </w:rPr>
            <w:t xml:space="preserve">1.1.2 </w:t>
          </w:r>
          <w:r>
            <w:rPr>
              <w:rStyle w:val="46"/>
              <w:rFonts w:hint="eastAsia" w:ascii="宋体" w:hAnsi="宋体"/>
            </w:rPr>
            <w:t>自然条件</w:t>
          </w:r>
          <w:r>
            <w:tab/>
          </w:r>
          <w:r>
            <w:fldChar w:fldCharType="begin"/>
          </w:r>
          <w:r>
            <w:instrText xml:space="preserve"> PAGEREF _Toc47384580 \h </w:instrText>
          </w:r>
          <w:r>
            <w:fldChar w:fldCharType="separate"/>
          </w:r>
          <w:r>
            <w:t>1</w:t>
          </w:r>
          <w:r>
            <w:fldChar w:fldCharType="end"/>
          </w:r>
          <w:r>
            <w:fldChar w:fldCharType="end"/>
          </w:r>
        </w:p>
        <w:p w14:paraId="09C032E4">
          <w:pPr>
            <w:pStyle w:val="19"/>
            <w:ind w:left="709"/>
            <w:rPr>
              <w:rFonts w:asciiTheme="minorHAnsi" w:hAnsiTheme="minorHAnsi" w:eastAsiaTheme="minorEastAsia" w:cstheme="minorBidi"/>
              <w:sz w:val="21"/>
              <w:szCs w:val="22"/>
            </w:rPr>
          </w:pPr>
          <w:r>
            <w:fldChar w:fldCharType="begin"/>
          </w:r>
          <w:r>
            <w:instrText xml:space="preserve"> HYPERLINK \l "_Toc47384581" </w:instrText>
          </w:r>
          <w:r>
            <w:fldChar w:fldCharType="separate"/>
          </w:r>
          <w:r>
            <w:rPr>
              <w:rStyle w:val="46"/>
              <w:rFonts w:ascii="宋体" w:hAnsi="宋体"/>
            </w:rPr>
            <w:t xml:space="preserve">1.1.3 </w:t>
          </w:r>
          <w:r>
            <w:rPr>
              <w:rStyle w:val="46"/>
              <w:rFonts w:hint="eastAsia" w:ascii="宋体" w:hAnsi="宋体"/>
            </w:rPr>
            <w:t>社会经济状况</w:t>
          </w:r>
          <w:r>
            <w:tab/>
          </w:r>
          <w:r>
            <w:fldChar w:fldCharType="begin"/>
          </w:r>
          <w:r>
            <w:instrText xml:space="preserve"> PAGEREF _Toc47384581 \h </w:instrText>
          </w:r>
          <w:r>
            <w:fldChar w:fldCharType="separate"/>
          </w:r>
          <w:r>
            <w:t>3</w:t>
          </w:r>
          <w:r>
            <w:fldChar w:fldCharType="end"/>
          </w:r>
          <w:r>
            <w:fldChar w:fldCharType="end"/>
          </w:r>
        </w:p>
        <w:p w14:paraId="227298E7">
          <w:pPr>
            <w:pStyle w:val="33"/>
            <w:tabs>
              <w:tab w:val="right" w:leader="dot" w:pos="8296"/>
            </w:tabs>
            <w:rPr>
              <w:rFonts w:asciiTheme="minorHAnsi" w:hAnsiTheme="minorHAnsi" w:eastAsiaTheme="minorEastAsia" w:cstheme="minorBidi"/>
              <w:szCs w:val="22"/>
            </w:rPr>
          </w:pPr>
          <w:r>
            <w:fldChar w:fldCharType="begin"/>
          </w:r>
          <w:r>
            <w:instrText xml:space="preserve"> HYPERLINK \l "_Toc47384582" </w:instrText>
          </w:r>
          <w:r>
            <w:fldChar w:fldCharType="separate"/>
          </w:r>
          <w:r>
            <w:rPr>
              <w:rStyle w:val="46"/>
              <w:rFonts w:ascii="宋体" w:hAnsi="宋体"/>
              <w:bCs/>
            </w:rPr>
            <w:t xml:space="preserve">1.2 </w:t>
          </w:r>
          <w:r>
            <w:rPr>
              <w:rStyle w:val="46"/>
              <w:rFonts w:hint="eastAsia" w:ascii="宋体" w:hAnsi="宋体"/>
              <w:bCs/>
            </w:rPr>
            <w:t>评估工作概况</w:t>
          </w:r>
          <w:r>
            <w:tab/>
          </w:r>
          <w:r>
            <w:fldChar w:fldCharType="begin"/>
          </w:r>
          <w:r>
            <w:instrText xml:space="preserve"> PAGEREF _Toc47384582 \h </w:instrText>
          </w:r>
          <w:r>
            <w:fldChar w:fldCharType="separate"/>
          </w:r>
          <w:r>
            <w:t>4</w:t>
          </w:r>
          <w:r>
            <w:fldChar w:fldCharType="end"/>
          </w:r>
          <w:r>
            <w:fldChar w:fldCharType="end"/>
          </w:r>
        </w:p>
        <w:p w14:paraId="0CC1C4FD">
          <w:pPr>
            <w:pStyle w:val="19"/>
            <w:ind w:left="709"/>
          </w:pPr>
          <w:r>
            <w:fldChar w:fldCharType="begin"/>
          </w:r>
          <w:r>
            <w:instrText xml:space="preserve"> HYPERLINK \l "_Toc47384583" </w:instrText>
          </w:r>
          <w:r>
            <w:fldChar w:fldCharType="separate"/>
          </w:r>
          <w:r>
            <w:t xml:space="preserve">1.2.1 </w:t>
          </w:r>
          <w:r>
            <w:rPr>
              <w:rFonts w:hint="eastAsia"/>
            </w:rPr>
            <w:t>评估背景分析</w:t>
          </w:r>
          <w:r>
            <w:tab/>
          </w:r>
          <w:r>
            <w:fldChar w:fldCharType="begin"/>
          </w:r>
          <w:r>
            <w:instrText xml:space="preserve"> PAGEREF _Toc47384583 \h </w:instrText>
          </w:r>
          <w:r>
            <w:fldChar w:fldCharType="separate"/>
          </w:r>
          <w:r>
            <w:t>4</w:t>
          </w:r>
          <w:r>
            <w:fldChar w:fldCharType="end"/>
          </w:r>
          <w:r>
            <w:fldChar w:fldCharType="end"/>
          </w:r>
        </w:p>
        <w:p w14:paraId="2542F0E3">
          <w:pPr>
            <w:pStyle w:val="19"/>
            <w:ind w:left="709"/>
          </w:pPr>
          <w:r>
            <w:fldChar w:fldCharType="begin"/>
          </w:r>
          <w:r>
            <w:instrText xml:space="preserve"> HYPERLINK \l "_Toc47384584" </w:instrText>
          </w:r>
          <w:r>
            <w:fldChar w:fldCharType="separate"/>
          </w:r>
          <w:r>
            <w:t xml:space="preserve">1.2.2 </w:t>
          </w:r>
          <w:r>
            <w:rPr>
              <w:rFonts w:hint="eastAsia"/>
            </w:rPr>
            <w:t>工作目的和任务</w:t>
          </w:r>
          <w:r>
            <w:tab/>
          </w:r>
          <w:r>
            <w:fldChar w:fldCharType="begin"/>
          </w:r>
          <w:r>
            <w:instrText xml:space="preserve"> PAGEREF _Toc47384584 \h </w:instrText>
          </w:r>
          <w:r>
            <w:fldChar w:fldCharType="separate"/>
          </w:r>
          <w:r>
            <w:t>5</w:t>
          </w:r>
          <w:r>
            <w:fldChar w:fldCharType="end"/>
          </w:r>
          <w:r>
            <w:fldChar w:fldCharType="end"/>
          </w:r>
        </w:p>
        <w:p w14:paraId="5D80F368">
          <w:pPr>
            <w:pStyle w:val="19"/>
            <w:ind w:left="709"/>
          </w:pPr>
          <w:r>
            <w:fldChar w:fldCharType="begin"/>
          </w:r>
          <w:r>
            <w:instrText xml:space="preserve"> HYPERLINK \l "_Toc47384585" </w:instrText>
          </w:r>
          <w:r>
            <w:fldChar w:fldCharType="separate"/>
          </w:r>
          <w:r>
            <w:t xml:space="preserve">1.2.3 </w:t>
          </w:r>
          <w:r>
            <w:rPr>
              <w:rFonts w:hint="eastAsia"/>
            </w:rPr>
            <w:t>工作依据和范围</w:t>
          </w:r>
          <w:r>
            <w:tab/>
          </w:r>
          <w:r>
            <w:fldChar w:fldCharType="begin"/>
          </w:r>
          <w:r>
            <w:instrText xml:space="preserve"> PAGEREF _Toc47384585 \h </w:instrText>
          </w:r>
          <w:r>
            <w:fldChar w:fldCharType="separate"/>
          </w:r>
          <w:r>
            <w:t>6</w:t>
          </w:r>
          <w:r>
            <w:fldChar w:fldCharType="end"/>
          </w:r>
          <w:r>
            <w:fldChar w:fldCharType="end"/>
          </w:r>
        </w:p>
        <w:p w14:paraId="079366E8">
          <w:pPr>
            <w:pStyle w:val="27"/>
            <w:rPr>
              <w:rFonts w:asciiTheme="minorHAnsi" w:hAnsiTheme="minorHAnsi" w:eastAsiaTheme="minorEastAsia" w:cstheme="minorBidi"/>
              <w:b w:val="0"/>
              <w:bCs w:val="0"/>
              <w:iCs w:val="0"/>
              <w:sz w:val="21"/>
              <w:szCs w:val="22"/>
            </w:rPr>
          </w:pPr>
          <w:r>
            <w:fldChar w:fldCharType="begin"/>
          </w:r>
          <w:r>
            <w:instrText xml:space="preserve"> HYPERLINK \l "_Toc47384586" </w:instrText>
          </w:r>
          <w:r>
            <w:fldChar w:fldCharType="separate"/>
          </w:r>
          <w:r>
            <w:rPr>
              <w:rStyle w:val="46"/>
              <w:rFonts w:hint="eastAsia" w:ascii="黑体" w:hAnsi="黑体" w:eastAsia="黑体"/>
            </w:rPr>
            <w:t>第二章国有农用地级别与基准地价评估技术方案</w:t>
          </w:r>
          <w:r>
            <w:tab/>
          </w:r>
          <w:r>
            <w:fldChar w:fldCharType="begin"/>
          </w:r>
          <w:r>
            <w:instrText xml:space="preserve"> PAGEREF _Toc47384586 \h </w:instrText>
          </w:r>
          <w:r>
            <w:fldChar w:fldCharType="separate"/>
          </w:r>
          <w:r>
            <w:t>10</w:t>
          </w:r>
          <w:r>
            <w:fldChar w:fldCharType="end"/>
          </w:r>
          <w:r>
            <w:fldChar w:fldCharType="end"/>
          </w:r>
        </w:p>
        <w:p w14:paraId="387423D7">
          <w:pPr>
            <w:pStyle w:val="33"/>
            <w:tabs>
              <w:tab w:val="right" w:leader="dot" w:pos="8296"/>
            </w:tabs>
            <w:rPr>
              <w:rFonts w:asciiTheme="minorHAnsi" w:hAnsiTheme="minorHAnsi" w:eastAsiaTheme="minorEastAsia" w:cstheme="minorBidi"/>
              <w:szCs w:val="22"/>
            </w:rPr>
          </w:pPr>
          <w:r>
            <w:fldChar w:fldCharType="begin"/>
          </w:r>
          <w:r>
            <w:instrText xml:space="preserve"> HYPERLINK \l "_Toc47384587" </w:instrText>
          </w:r>
          <w:r>
            <w:fldChar w:fldCharType="separate"/>
          </w:r>
          <w:r>
            <w:rPr>
              <w:rStyle w:val="46"/>
              <w:rFonts w:ascii="宋体" w:hAnsi="宋体"/>
              <w:bCs/>
            </w:rPr>
            <w:t>2.1</w:t>
          </w:r>
          <w:r>
            <w:rPr>
              <w:rStyle w:val="46"/>
              <w:rFonts w:hint="eastAsia" w:ascii="宋体" w:hAnsi="宋体"/>
              <w:bCs/>
            </w:rPr>
            <w:t>基本原则</w:t>
          </w:r>
          <w:r>
            <w:tab/>
          </w:r>
          <w:r>
            <w:fldChar w:fldCharType="begin"/>
          </w:r>
          <w:r>
            <w:instrText xml:space="preserve"> PAGEREF _Toc47384587 \h </w:instrText>
          </w:r>
          <w:r>
            <w:fldChar w:fldCharType="separate"/>
          </w:r>
          <w:r>
            <w:t>10</w:t>
          </w:r>
          <w:r>
            <w:fldChar w:fldCharType="end"/>
          </w:r>
          <w:r>
            <w:fldChar w:fldCharType="end"/>
          </w:r>
        </w:p>
        <w:p w14:paraId="508B2640">
          <w:pPr>
            <w:pStyle w:val="19"/>
            <w:ind w:left="709"/>
          </w:pPr>
          <w:r>
            <w:fldChar w:fldCharType="begin"/>
          </w:r>
          <w:r>
            <w:instrText xml:space="preserve"> HYPERLINK \l "_Toc47384588" </w:instrText>
          </w:r>
          <w:r>
            <w:fldChar w:fldCharType="separate"/>
          </w:r>
          <w:r>
            <w:t xml:space="preserve">2.1.1 </w:t>
          </w:r>
          <w:r>
            <w:rPr>
              <w:rFonts w:hint="eastAsia"/>
            </w:rPr>
            <w:t>土地定级的原则</w:t>
          </w:r>
          <w:r>
            <w:tab/>
          </w:r>
          <w:r>
            <w:fldChar w:fldCharType="begin"/>
          </w:r>
          <w:r>
            <w:instrText xml:space="preserve"> PAGEREF _Toc47384588 \h </w:instrText>
          </w:r>
          <w:r>
            <w:fldChar w:fldCharType="separate"/>
          </w:r>
          <w:r>
            <w:t>10</w:t>
          </w:r>
          <w:r>
            <w:fldChar w:fldCharType="end"/>
          </w:r>
          <w:r>
            <w:fldChar w:fldCharType="end"/>
          </w:r>
        </w:p>
        <w:p w14:paraId="64DAAC64">
          <w:pPr>
            <w:pStyle w:val="19"/>
            <w:ind w:left="709"/>
          </w:pPr>
          <w:r>
            <w:fldChar w:fldCharType="begin"/>
          </w:r>
          <w:r>
            <w:instrText xml:space="preserve"> HYPERLINK \l "_Toc47384589" </w:instrText>
          </w:r>
          <w:r>
            <w:fldChar w:fldCharType="separate"/>
          </w:r>
          <w:r>
            <w:t xml:space="preserve">2.1.2 </w:t>
          </w:r>
          <w:r>
            <w:rPr>
              <w:rFonts w:hint="eastAsia"/>
            </w:rPr>
            <w:t>基准地价评估的原则</w:t>
          </w:r>
          <w:r>
            <w:tab/>
          </w:r>
          <w:r>
            <w:fldChar w:fldCharType="begin"/>
          </w:r>
          <w:r>
            <w:instrText xml:space="preserve"> PAGEREF _Toc47384589 \h </w:instrText>
          </w:r>
          <w:r>
            <w:fldChar w:fldCharType="separate"/>
          </w:r>
          <w:r>
            <w:t>10</w:t>
          </w:r>
          <w:r>
            <w:fldChar w:fldCharType="end"/>
          </w:r>
          <w:r>
            <w:fldChar w:fldCharType="end"/>
          </w:r>
        </w:p>
        <w:p w14:paraId="54D3D497">
          <w:pPr>
            <w:pStyle w:val="33"/>
            <w:tabs>
              <w:tab w:val="right" w:leader="dot" w:pos="8296"/>
            </w:tabs>
            <w:rPr>
              <w:rFonts w:asciiTheme="minorHAnsi" w:hAnsiTheme="minorHAnsi" w:eastAsiaTheme="minorEastAsia" w:cstheme="minorBidi"/>
              <w:szCs w:val="22"/>
            </w:rPr>
          </w:pPr>
          <w:r>
            <w:fldChar w:fldCharType="begin"/>
          </w:r>
          <w:r>
            <w:instrText xml:space="preserve"> HYPERLINK \l "_Toc47384590" </w:instrText>
          </w:r>
          <w:r>
            <w:fldChar w:fldCharType="separate"/>
          </w:r>
          <w:r>
            <w:rPr>
              <w:rStyle w:val="46"/>
              <w:rFonts w:ascii="宋体" w:hAnsi="宋体"/>
              <w:bCs/>
            </w:rPr>
            <w:t xml:space="preserve">2.2 </w:t>
          </w:r>
          <w:r>
            <w:rPr>
              <w:rStyle w:val="46"/>
              <w:rFonts w:hint="eastAsia" w:ascii="宋体" w:hAnsi="宋体"/>
              <w:bCs/>
            </w:rPr>
            <w:t>评估技术路线</w:t>
          </w:r>
          <w:r>
            <w:tab/>
          </w:r>
          <w:r>
            <w:fldChar w:fldCharType="begin"/>
          </w:r>
          <w:r>
            <w:instrText xml:space="preserve"> PAGEREF _Toc47384590 \h </w:instrText>
          </w:r>
          <w:r>
            <w:fldChar w:fldCharType="separate"/>
          </w:r>
          <w:r>
            <w:t>11</w:t>
          </w:r>
          <w:r>
            <w:fldChar w:fldCharType="end"/>
          </w:r>
          <w:r>
            <w:fldChar w:fldCharType="end"/>
          </w:r>
        </w:p>
        <w:p w14:paraId="1D9963EC">
          <w:pPr>
            <w:pStyle w:val="19"/>
            <w:ind w:left="709"/>
          </w:pPr>
          <w:r>
            <w:fldChar w:fldCharType="begin"/>
          </w:r>
          <w:r>
            <w:instrText xml:space="preserve"> HYPERLINK \l "_Toc47384591" </w:instrText>
          </w:r>
          <w:r>
            <w:fldChar w:fldCharType="separate"/>
          </w:r>
          <w:r>
            <w:t xml:space="preserve">2.2.1 </w:t>
          </w:r>
          <w:r>
            <w:rPr>
              <w:rFonts w:hint="eastAsia"/>
            </w:rPr>
            <w:t>国有农用地定级</w:t>
          </w:r>
          <w:r>
            <w:tab/>
          </w:r>
          <w:r>
            <w:fldChar w:fldCharType="begin"/>
          </w:r>
          <w:r>
            <w:instrText xml:space="preserve"> PAGEREF _Toc47384591 \h </w:instrText>
          </w:r>
          <w:r>
            <w:fldChar w:fldCharType="separate"/>
          </w:r>
          <w:r>
            <w:t>12</w:t>
          </w:r>
          <w:r>
            <w:fldChar w:fldCharType="end"/>
          </w:r>
          <w:r>
            <w:fldChar w:fldCharType="end"/>
          </w:r>
        </w:p>
        <w:p w14:paraId="0C5EEFC0">
          <w:pPr>
            <w:pStyle w:val="19"/>
            <w:ind w:left="709"/>
          </w:pPr>
          <w:r>
            <w:fldChar w:fldCharType="begin"/>
          </w:r>
          <w:r>
            <w:instrText xml:space="preserve"> HYPERLINK \l "_Toc47384592" </w:instrText>
          </w:r>
          <w:r>
            <w:fldChar w:fldCharType="separate"/>
          </w:r>
          <w:r>
            <w:t xml:space="preserve">2.2.2 </w:t>
          </w:r>
          <w:r>
            <w:rPr>
              <w:rFonts w:hint="eastAsia"/>
            </w:rPr>
            <w:t>国有农用地基准地价评估</w:t>
          </w:r>
          <w:r>
            <w:tab/>
          </w:r>
          <w:r>
            <w:fldChar w:fldCharType="begin"/>
          </w:r>
          <w:r>
            <w:instrText xml:space="preserve"> PAGEREF _Toc47384592 \h </w:instrText>
          </w:r>
          <w:r>
            <w:fldChar w:fldCharType="separate"/>
          </w:r>
          <w:r>
            <w:t>13</w:t>
          </w:r>
          <w:r>
            <w:fldChar w:fldCharType="end"/>
          </w:r>
          <w:r>
            <w:fldChar w:fldCharType="end"/>
          </w:r>
        </w:p>
        <w:p w14:paraId="4E2F86BF">
          <w:pPr>
            <w:pStyle w:val="33"/>
            <w:tabs>
              <w:tab w:val="right" w:leader="dot" w:pos="8296"/>
            </w:tabs>
            <w:rPr>
              <w:rFonts w:asciiTheme="minorHAnsi" w:hAnsiTheme="minorHAnsi" w:eastAsiaTheme="minorEastAsia" w:cstheme="minorBidi"/>
              <w:szCs w:val="22"/>
            </w:rPr>
          </w:pPr>
          <w:r>
            <w:fldChar w:fldCharType="begin"/>
          </w:r>
          <w:r>
            <w:instrText xml:space="preserve"> HYPERLINK \l "_Toc47384593" </w:instrText>
          </w:r>
          <w:r>
            <w:fldChar w:fldCharType="separate"/>
          </w:r>
          <w:r>
            <w:rPr>
              <w:rStyle w:val="46"/>
              <w:rFonts w:ascii="宋体" w:hAnsi="宋体"/>
              <w:bCs/>
            </w:rPr>
            <w:t xml:space="preserve">2.3 </w:t>
          </w:r>
          <w:r>
            <w:rPr>
              <w:rStyle w:val="46"/>
              <w:rFonts w:hint="eastAsia" w:ascii="宋体" w:hAnsi="宋体"/>
              <w:bCs/>
            </w:rPr>
            <w:t>资料收集与外业调查</w:t>
          </w:r>
          <w:r>
            <w:tab/>
          </w:r>
          <w:r>
            <w:fldChar w:fldCharType="begin"/>
          </w:r>
          <w:r>
            <w:instrText xml:space="preserve"> PAGEREF _Toc47384593 \h </w:instrText>
          </w:r>
          <w:r>
            <w:fldChar w:fldCharType="separate"/>
          </w:r>
          <w:r>
            <w:t>13</w:t>
          </w:r>
          <w:r>
            <w:fldChar w:fldCharType="end"/>
          </w:r>
          <w:r>
            <w:fldChar w:fldCharType="end"/>
          </w:r>
        </w:p>
        <w:p w14:paraId="38D462D4">
          <w:pPr>
            <w:pStyle w:val="19"/>
            <w:ind w:left="709"/>
          </w:pPr>
          <w:r>
            <w:fldChar w:fldCharType="begin"/>
          </w:r>
          <w:r>
            <w:instrText xml:space="preserve"> HYPERLINK \l "_Toc47384594" </w:instrText>
          </w:r>
          <w:r>
            <w:fldChar w:fldCharType="separate"/>
          </w:r>
          <w:r>
            <w:t xml:space="preserve">2.3.1 </w:t>
          </w:r>
          <w:r>
            <w:rPr>
              <w:rFonts w:hint="eastAsia"/>
            </w:rPr>
            <w:t>资料调查的原则和要求</w:t>
          </w:r>
          <w:r>
            <w:tab/>
          </w:r>
          <w:r>
            <w:fldChar w:fldCharType="begin"/>
          </w:r>
          <w:r>
            <w:instrText xml:space="preserve"> PAGEREF _Toc47384594 \h </w:instrText>
          </w:r>
          <w:r>
            <w:fldChar w:fldCharType="separate"/>
          </w:r>
          <w:r>
            <w:t>13</w:t>
          </w:r>
          <w:r>
            <w:fldChar w:fldCharType="end"/>
          </w:r>
          <w:r>
            <w:fldChar w:fldCharType="end"/>
          </w:r>
        </w:p>
        <w:p w14:paraId="1ED743EF">
          <w:pPr>
            <w:pStyle w:val="19"/>
            <w:ind w:left="709"/>
          </w:pPr>
          <w:r>
            <w:fldChar w:fldCharType="begin"/>
          </w:r>
          <w:r>
            <w:instrText xml:space="preserve"> HYPERLINK \l "_Toc47384595" </w:instrText>
          </w:r>
          <w:r>
            <w:fldChar w:fldCharType="separate"/>
          </w:r>
          <w:r>
            <w:t xml:space="preserve">2.3.2 </w:t>
          </w:r>
          <w:r>
            <w:rPr>
              <w:rFonts w:hint="eastAsia"/>
            </w:rPr>
            <w:t>资料收集与调查方法</w:t>
          </w:r>
          <w:r>
            <w:tab/>
          </w:r>
          <w:r>
            <w:fldChar w:fldCharType="begin"/>
          </w:r>
          <w:r>
            <w:instrText xml:space="preserve"> PAGEREF _Toc47384595 \h </w:instrText>
          </w:r>
          <w:r>
            <w:fldChar w:fldCharType="separate"/>
          </w:r>
          <w:r>
            <w:t>14</w:t>
          </w:r>
          <w:r>
            <w:fldChar w:fldCharType="end"/>
          </w:r>
          <w:r>
            <w:fldChar w:fldCharType="end"/>
          </w:r>
        </w:p>
        <w:p w14:paraId="00D0038C">
          <w:pPr>
            <w:pStyle w:val="19"/>
            <w:ind w:left="709"/>
          </w:pPr>
          <w:r>
            <w:fldChar w:fldCharType="begin"/>
          </w:r>
          <w:r>
            <w:instrText xml:space="preserve"> HYPERLINK \l "_Toc47384596" </w:instrText>
          </w:r>
          <w:r>
            <w:fldChar w:fldCharType="separate"/>
          </w:r>
          <w:r>
            <w:t xml:space="preserve">2.3.3 </w:t>
          </w:r>
          <w:r>
            <w:rPr>
              <w:rFonts w:hint="eastAsia"/>
            </w:rPr>
            <w:t>资料的分类整理</w:t>
          </w:r>
          <w:r>
            <w:tab/>
          </w:r>
          <w:r>
            <w:fldChar w:fldCharType="begin"/>
          </w:r>
          <w:r>
            <w:instrText xml:space="preserve"> PAGEREF _Toc47384596 \h </w:instrText>
          </w:r>
          <w:r>
            <w:fldChar w:fldCharType="separate"/>
          </w:r>
          <w:r>
            <w:t>17</w:t>
          </w:r>
          <w:r>
            <w:fldChar w:fldCharType="end"/>
          </w:r>
          <w:r>
            <w:fldChar w:fldCharType="end"/>
          </w:r>
        </w:p>
        <w:p w14:paraId="7C6256FE">
          <w:pPr>
            <w:pStyle w:val="19"/>
            <w:ind w:left="709"/>
          </w:pPr>
          <w:r>
            <w:fldChar w:fldCharType="begin"/>
          </w:r>
          <w:r>
            <w:instrText xml:space="preserve"> HYPERLINK \l "_Toc47384597" </w:instrText>
          </w:r>
          <w:r>
            <w:fldChar w:fldCharType="separate"/>
          </w:r>
          <w:r>
            <w:t xml:space="preserve">2.3.4 </w:t>
          </w:r>
          <w:r>
            <w:rPr>
              <w:rFonts w:hint="eastAsia"/>
            </w:rPr>
            <w:t>外业调查及成果整理</w:t>
          </w:r>
          <w:r>
            <w:tab/>
          </w:r>
          <w:r>
            <w:fldChar w:fldCharType="begin"/>
          </w:r>
          <w:r>
            <w:instrText xml:space="preserve"> PAGEREF _Toc47384597 \h </w:instrText>
          </w:r>
          <w:r>
            <w:fldChar w:fldCharType="separate"/>
          </w:r>
          <w:r>
            <w:t>18</w:t>
          </w:r>
          <w:r>
            <w:fldChar w:fldCharType="end"/>
          </w:r>
          <w:r>
            <w:fldChar w:fldCharType="end"/>
          </w:r>
        </w:p>
        <w:p w14:paraId="1B0E158B">
          <w:pPr>
            <w:pStyle w:val="27"/>
            <w:rPr>
              <w:rFonts w:asciiTheme="minorHAnsi" w:hAnsiTheme="minorHAnsi" w:eastAsiaTheme="minorEastAsia" w:cstheme="minorBidi"/>
              <w:b w:val="0"/>
              <w:bCs w:val="0"/>
              <w:iCs w:val="0"/>
              <w:sz w:val="21"/>
              <w:szCs w:val="22"/>
            </w:rPr>
          </w:pPr>
          <w:r>
            <w:fldChar w:fldCharType="begin"/>
          </w:r>
          <w:r>
            <w:instrText xml:space="preserve"> HYPERLINK \l "_Toc47384598" </w:instrText>
          </w:r>
          <w:r>
            <w:fldChar w:fldCharType="separate"/>
          </w:r>
          <w:r>
            <w:rPr>
              <w:rStyle w:val="46"/>
              <w:rFonts w:hint="eastAsia" w:ascii="黑体" w:hAnsi="黑体" w:eastAsia="黑体"/>
            </w:rPr>
            <w:t>第三章国有农用地定级</w:t>
          </w:r>
          <w:r>
            <w:tab/>
          </w:r>
          <w:r>
            <w:fldChar w:fldCharType="begin"/>
          </w:r>
          <w:r>
            <w:instrText xml:space="preserve"> PAGEREF _Toc47384598 \h </w:instrText>
          </w:r>
          <w:r>
            <w:fldChar w:fldCharType="separate"/>
          </w:r>
          <w:r>
            <w:t>21</w:t>
          </w:r>
          <w:r>
            <w:fldChar w:fldCharType="end"/>
          </w:r>
          <w:r>
            <w:fldChar w:fldCharType="end"/>
          </w:r>
        </w:p>
        <w:p w14:paraId="532DD8BB">
          <w:pPr>
            <w:pStyle w:val="33"/>
            <w:tabs>
              <w:tab w:val="right" w:leader="dot" w:pos="8296"/>
            </w:tabs>
            <w:rPr>
              <w:rFonts w:asciiTheme="minorHAnsi" w:hAnsiTheme="minorHAnsi" w:eastAsiaTheme="minorEastAsia" w:cstheme="minorBidi"/>
              <w:szCs w:val="22"/>
            </w:rPr>
          </w:pPr>
          <w:r>
            <w:fldChar w:fldCharType="begin"/>
          </w:r>
          <w:r>
            <w:instrText xml:space="preserve"> HYPERLINK \l "_Toc47384599" </w:instrText>
          </w:r>
          <w:r>
            <w:fldChar w:fldCharType="separate"/>
          </w:r>
          <w:r>
            <w:rPr>
              <w:rStyle w:val="46"/>
              <w:rFonts w:ascii="宋体" w:hAnsi="宋体"/>
              <w:bCs/>
            </w:rPr>
            <w:t xml:space="preserve">3.1 </w:t>
          </w:r>
          <w:r>
            <w:rPr>
              <w:rStyle w:val="46"/>
              <w:rFonts w:hint="eastAsia" w:ascii="宋体" w:hAnsi="宋体"/>
              <w:bCs/>
            </w:rPr>
            <w:t>国有农用地定级指标体系和权重确定</w:t>
          </w:r>
          <w:r>
            <w:tab/>
          </w:r>
          <w:r>
            <w:fldChar w:fldCharType="begin"/>
          </w:r>
          <w:r>
            <w:instrText xml:space="preserve"> PAGEREF _Toc47384599 \h </w:instrText>
          </w:r>
          <w:r>
            <w:fldChar w:fldCharType="separate"/>
          </w:r>
          <w:r>
            <w:t>21</w:t>
          </w:r>
          <w:r>
            <w:fldChar w:fldCharType="end"/>
          </w:r>
          <w:r>
            <w:fldChar w:fldCharType="end"/>
          </w:r>
        </w:p>
        <w:p w14:paraId="3BCCD201">
          <w:pPr>
            <w:pStyle w:val="19"/>
            <w:ind w:left="709"/>
          </w:pPr>
          <w:r>
            <w:fldChar w:fldCharType="begin"/>
          </w:r>
          <w:r>
            <w:instrText xml:space="preserve"> HYPERLINK \l "_Toc47384600" </w:instrText>
          </w:r>
          <w:r>
            <w:fldChar w:fldCharType="separate"/>
          </w:r>
          <w:r>
            <w:t xml:space="preserve">3.1.1 </w:t>
          </w:r>
          <w:r>
            <w:rPr>
              <w:rFonts w:hint="eastAsia"/>
            </w:rPr>
            <w:t>国有农用地定级因素选择</w:t>
          </w:r>
          <w:r>
            <w:tab/>
          </w:r>
          <w:r>
            <w:fldChar w:fldCharType="begin"/>
          </w:r>
          <w:r>
            <w:instrText xml:space="preserve"> PAGEREF _Toc47384600 \h </w:instrText>
          </w:r>
          <w:r>
            <w:fldChar w:fldCharType="separate"/>
          </w:r>
          <w:r>
            <w:t>21</w:t>
          </w:r>
          <w:r>
            <w:fldChar w:fldCharType="end"/>
          </w:r>
          <w:r>
            <w:fldChar w:fldCharType="end"/>
          </w:r>
        </w:p>
        <w:p w14:paraId="62B2D211">
          <w:pPr>
            <w:pStyle w:val="19"/>
            <w:ind w:left="709"/>
          </w:pPr>
          <w:r>
            <w:fldChar w:fldCharType="begin"/>
          </w:r>
          <w:r>
            <w:instrText xml:space="preserve"> HYPERLINK \l "_Toc47384601" </w:instrText>
          </w:r>
          <w:r>
            <w:fldChar w:fldCharType="separate"/>
          </w:r>
          <w:r>
            <w:t xml:space="preserve">3.1.2 </w:t>
          </w:r>
          <w:r>
            <w:rPr>
              <w:rFonts w:hint="eastAsia"/>
            </w:rPr>
            <w:t>国有农用地定级因素权重确定</w:t>
          </w:r>
          <w:r>
            <w:tab/>
          </w:r>
          <w:r>
            <w:fldChar w:fldCharType="begin"/>
          </w:r>
          <w:r>
            <w:instrText xml:space="preserve"> PAGEREF _Toc47384601 \h </w:instrText>
          </w:r>
          <w:r>
            <w:fldChar w:fldCharType="separate"/>
          </w:r>
          <w:r>
            <w:t>24</w:t>
          </w:r>
          <w:r>
            <w:fldChar w:fldCharType="end"/>
          </w:r>
          <w:r>
            <w:fldChar w:fldCharType="end"/>
          </w:r>
        </w:p>
        <w:p w14:paraId="1BA36746">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"_Toc47384602" </w:instrText>
          </w:r>
          <w:r>
            <w:fldChar w:fldCharType="separate"/>
          </w:r>
          <w:r>
            <w:rPr>
              <w:rStyle w:val="46"/>
              <w:rFonts w:ascii="宋体" w:hAnsi="宋体"/>
              <w:bCs/>
            </w:rPr>
            <w:t xml:space="preserve">3.2 </w:t>
          </w:r>
          <w:r>
            <w:rPr>
              <w:rStyle w:val="46"/>
              <w:rFonts w:hint="eastAsia" w:ascii="宋体" w:hAnsi="宋体"/>
              <w:bCs/>
            </w:rPr>
            <w:t>土地定级因子整理与量化方法</w:t>
          </w:r>
          <w:r>
            <w:tab/>
          </w:r>
          <w:r>
            <w:fldChar w:fldCharType="begin"/>
          </w:r>
          <w:r>
            <w:instrText xml:space="preserve"> PAGEREF _Toc47384602 \h </w:instrText>
          </w:r>
          <w:r>
            <w:fldChar w:fldCharType="separate"/>
          </w:r>
          <w:r>
            <w:t>27</w:t>
          </w:r>
          <w:r>
            <w:fldChar w:fldCharType="end"/>
          </w:r>
          <w:r>
            <w:fldChar w:fldCharType="end"/>
          </w:r>
        </w:p>
        <w:p w14:paraId="00AE759B">
          <w:pPr>
            <w:pStyle w:val="19"/>
            <w:ind w:left="709"/>
          </w:pPr>
          <w:r>
            <w:fldChar w:fldCharType="begin"/>
          </w:r>
          <w:r>
            <w:instrText xml:space="preserve"> HYPERLINK \l "_Toc47384603" </w:instrText>
          </w:r>
          <w:r>
            <w:fldChar w:fldCharType="separate"/>
          </w:r>
          <w:r>
            <w:t xml:space="preserve">3.2.1 </w:t>
          </w:r>
          <w:r>
            <w:rPr>
              <w:rFonts w:hint="eastAsia"/>
            </w:rPr>
            <w:t>国有农用地定级资料调查与收集</w:t>
          </w:r>
          <w:r>
            <w:tab/>
          </w:r>
          <w:r>
            <w:fldChar w:fldCharType="begin"/>
          </w:r>
          <w:r>
            <w:instrText xml:space="preserve"> PAGEREF _Toc47384603 \h </w:instrText>
          </w:r>
          <w:r>
            <w:fldChar w:fldCharType="separate"/>
          </w:r>
          <w:r>
            <w:t>27</w:t>
          </w:r>
          <w:r>
            <w:fldChar w:fldCharType="end"/>
          </w:r>
          <w:r>
            <w:fldChar w:fldCharType="end"/>
          </w:r>
        </w:p>
        <w:p w14:paraId="1526B23C">
          <w:pPr>
            <w:pStyle w:val="19"/>
            <w:ind w:left="709"/>
          </w:pPr>
          <w:r>
            <w:fldChar w:fldCharType="begin"/>
          </w:r>
          <w:r>
            <w:instrText xml:space="preserve"> HYPERLINK \l "_Toc47384604" </w:instrText>
          </w:r>
          <w:r>
            <w:fldChar w:fldCharType="separate"/>
          </w:r>
          <w:r>
            <w:t xml:space="preserve">3.2.2 </w:t>
          </w:r>
          <w:r>
            <w:rPr>
              <w:rFonts w:hint="eastAsia"/>
            </w:rPr>
            <w:t>国有农用地定级因子量化方法</w:t>
          </w:r>
          <w:r>
            <w:tab/>
          </w:r>
          <w:r>
            <w:fldChar w:fldCharType="begin"/>
          </w:r>
          <w:r>
            <w:instrText xml:space="preserve"> PAGEREF _Toc47384604 \h </w:instrText>
          </w:r>
          <w:r>
            <w:fldChar w:fldCharType="separate"/>
          </w:r>
          <w:r>
            <w:t>27</w:t>
          </w:r>
          <w:r>
            <w:fldChar w:fldCharType="end"/>
          </w:r>
          <w:r>
            <w:fldChar w:fldCharType="end"/>
          </w:r>
        </w:p>
        <w:p w14:paraId="3E8FB2B4">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"_Toc47384605" </w:instrText>
          </w:r>
          <w:r>
            <w:fldChar w:fldCharType="separate"/>
          </w:r>
          <w:r>
            <w:rPr>
              <w:rStyle w:val="46"/>
              <w:rFonts w:ascii="宋体" w:hAnsi="宋体"/>
              <w:bCs/>
            </w:rPr>
            <w:t xml:space="preserve">3.3 </w:t>
          </w:r>
          <w:r>
            <w:rPr>
              <w:rStyle w:val="46"/>
              <w:rFonts w:hint="eastAsia" w:ascii="宋体" w:hAnsi="宋体"/>
              <w:bCs/>
            </w:rPr>
            <w:t>土地定级因子指标分析及计算结果</w:t>
          </w:r>
          <w:r>
            <w:tab/>
          </w:r>
          <w:r>
            <w:fldChar w:fldCharType="begin"/>
          </w:r>
          <w:r>
            <w:instrText xml:space="preserve"> PAGEREF _Toc47384605 \h </w:instrText>
          </w:r>
          <w:r>
            <w:fldChar w:fldCharType="separate"/>
          </w:r>
          <w:r>
            <w:t>29</w:t>
          </w:r>
          <w:r>
            <w:fldChar w:fldCharType="end"/>
          </w:r>
          <w:r>
            <w:fldChar w:fldCharType="end"/>
          </w:r>
        </w:p>
        <w:p w14:paraId="48080E41">
          <w:pPr>
            <w:pStyle w:val="19"/>
            <w:ind w:left="709"/>
            <w:rPr>
              <w:rFonts w:asciiTheme="minorHAnsi" w:hAnsiTheme="minorHAnsi" w:eastAsiaTheme="minorEastAsia" w:cstheme="minorBidi"/>
              <w:sz w:val="21"/>
              <w:szCs w:val="22"/>
            </w:rPr>
          </w:pPr>
          <w:r>
            <w:fldChar w:fldCharType="begin"/>
          </w:r>
          <w:r>
            <w:instrText xml:space="preserve"> HYPERLINK \l "_Toc47384606" </w:instrText>
          </w:r>
          <w:r>
            <w:fldChar w:fldCharType="separate"/>
          </w:r>
          <w:r>
            <w:rPr>
              <w:rStyle w:val="46"/>
              <w:rFonts w:ascii="宋体" w:hAnsi="宋体"/>
            </w:rPr>
            <w:t xml:space="preserve">3.3.1 </w:t>
          </w:r>
          <w:r>
            <w:rPr>
              <w:rStyle w:val="46"/>
              <w:rFonts w:hint="eastAsia" w:ascii="宋体" w:hAnsi="宋体"/>
            </w:rPr>
            <w:t>坡度</w:t>
          </w:r>
          <w:r>
            <w:tab/>
          </w:r>
          <w:r>
            <w:fldChar w:fldCharType="begin"/>
          </w:r>
          <w:r>
            <w:instrText xml:space="preserve"> PAGEREF _Toc47384606 \h </w:instrText>
          </w:r>
          <w:r>
            <w:fldChar w:fldCharType="separate"/>
          </w:r>
          <w:r>
            <w:t>30</w:t>
          </w:r>
          <w:r>
            <w:fldChar w:fldCharType="end"/>
          </w:r>
          <w:r>
            <w:fldChar w:fldCharType="end"/>
          </w:r>
        </w:p>
        <w:p w14:paraId="29351E2A">
          <w:pPr>
            <w:pStyle w:val="19"/>
            <w:ind w:left="709"/>
            <w:rPr>
              <w:rFonts w:asciiTheme="minorHAnsi" w:hAnsiTheme="minorHAnsi" w:eastAsiaTheme="minorEastAsia" w:cstheme="minorBidi"/>
              <w:sz w:val="21"/>
              <w:szCs w:val="22"/>
            </w:rPr>
          </w:pPr>
          <w:r>
            <w:fldChar w:fldCharType="begin"/>
          </w:r>
          <w:r>
            <w:instrText xml:space="preserve"> HYPERLINK \l "_Toc47384607" </w:instrText>
          </w:r>
          <w:r>
            <w:fldChar w:fldCharType="separate"/>
          </w:r>
          <w:r>
            <w:rPr>
              <w:rStyle w:val="46"/>
              <w:rFonts w:ascii="宋体" w:hAnsi="宋体"/>
            </w:rPr>
            <w:t xml:space="preserve">3.3.2 </w:t>
          </w:r>
          <w:r>
            <w:rPr>
              <w:rStyle w:val="46"/>
              <w:rFonts w:hint="eastAsia" w:ascii="宋体" w:hAnsi="宋体"/>
            </w:rPr>
            <w:t>土壤有机质含量</w:t>
          </w:r>
          <w:r>
            <w:tab/>
          </w:r>
          <w:r>
            <w:fldChar w:fldCharType="begin"/>
          </w:r>
          <w:r>
            <w:instrText xml:space="preserve"> PAGEREF _Toc47384607 \h </w:instrText>
          </w:r>
          <w:r>
            <w:fldChar w:fldCharType="separate"/>
          </w:r>
          <w:r>
            <w:t>30</w:t>
          </w:r>
          <w:r>
            <w:fldChar w:fldCharType="end"/>
          </w:r>
          <w:r>
            <w:fldChar w:fldCharType="end"/>
          </w:r>
        </w:p>
        <w:p w14:paraId="0B78BAE4">
          <w:pPr>
            <w:pStyle w:val="19"/>
            <w:ind w:left="709"/>
            <w:rPr>
              <w:rFonts w:asciiTheme="minorHAnsi" w:hAnsiTheme="minorHAnsi" w:eastAsiaTheme="minorEastAsia" w:cstheme="minorBidi"/>
              <w:sz w:val="21"/>
              <w:szCs w:val="22"/>
            </w:rPr>
          </w:pPr>
          <w:r>
            <w:fldChar w:fldCharType="begin"/>
          </w:r>
          <w:r>
            <w:instrText xml:space="preserve"> HYPERLINK \l "_Toc47384608" </w:instrText>
          </w:r>
          <w:r>
            <w:fldChar w:fldCharType="separate"/>
          </w:r>
          <w:r>
            <w:rPr>
              <w:rStyle w:val="46"/>
              <w:rFonts w:ascii="宋体" w:hAnsi="宋体"/>
            </w:rPr>
            <w:t xml:space="preserve">3.3.3 </w:t>
          </w:r>
          <w:r>
            <w:rPr>
              <w:rStyle w:val="46"/>
              <w:rFonts w:hint="eastAsia" w:ascii="宋体" w:hAnsi="宋体"/>
            </w:rPr>
            <w:t>土壤剖面构型</w:t>
          </w:r>
          <w:r>
            <w:tab/>
          </w:r>
          <w:r>
            <w:fldChar w:fldCharType="begin"/>
          </w:r>
          <w:r>
            <w:instrText xml:space="preserve"> PAGEREF _Toc47384608 \h </w:instrText>
          </w:r>
          <w:r>
            <w:fldChar w:fldCharType="separate"/>
          </w:r>
          <w:r>
            <w:t>30</w:t>
          </w:r>
          <w:r>
            <w:fldChar w:fldCharType="end"/>
          </w:r>
          <w:r>
            <w:fldChar w:fldCharType="end"/>
          </w:r>
        </w:p>
        <w:p w14:paraId="3588C15B">
          <w:pPr>
            <w:pStyle w:val="19"/>
            <w:ind w:left="709"/>
            <w:rPr>
              <w:rFonts w:asciiTheme="minorHAnsi" w:hAnsiTheme="minorHAnsi" w:eastAsiaTheme="minorEastAsia" w:cstheme="minorBidi"/>
              <w:sz w:val="21"/>
              <w:szCs w:val="22"/>
            </w:rPr>
          </w:pPr>
          <w:r>
            <w:fldChar w:fldCharType="begin"/>
          </w:r>
          <w:r>
            <w:instrText xml:space="preserve"> HYPERLINK \l "_Toc47384609" </w:instrText>
          </w:r>
          <w:r>
            <w:fldChar w:fldCharType="separate"/>
          </w:r>
          <w:r>
            <w:rPr>
              <w:rStyle w:val="46"/>
              <w:rFonts w:ascii="宋体" w:hAnsi="宋体"/>
            </w:rPr>
            <w:t xml:space="preserve">3.3.4 </w:t>
          </w:r>
          <w:r>
            <w:rPr>
              <w:rStyle w:val="46"/>
              <w:rFonts w:hint="eastAsia" w:ascii="宋体" w:hAnsi="宋体"/>
            </w:rPr>
            <w:t>表层土壤质地</w:t>
          </w:r>
          <w:r>
            <w:tab/>
          </w:r>
          <w:r>
            <w:fldChar w:fldCharType="begin"/>
          </w:r>
          <w:r>
            <w:instrText xml:space="preserve"> PAGEREF _Toc47384609 \h </w:instrText>
          </w:r>
          <w:r>
            <w:fldChar w:fldCharType="separate"/>
          </w:r>
          <w:r>
            <w:t>30</w:t>
          </w:r>
          <w:r>
            <w:fldChar w:fldCharType="end"/>
          </w:r>
          <w:r>
            <w:fldChar w:fldCharType="end"/>
          </w:r>
        </w:p>
        <w:p w14:paraId="3ED3E81C">
          <w:pPr>
            <w:pStyle w:val="19"/>
            <w:ind w:left="709"/>
            <w:rPr>
              <w:rFonts w:asciiTheme="minorHAnsi" w:hAnsiTheme="minorHAnsi" w:eastAsiaTheme="minorEastAsia" w:cstheme="minorBidi"/>
              <w:sz w:val="21"/>
              <w:szCs w:val="22"/>
            </w:rPr>
          </w:pPr>
          <w:r>
            <w:fldChar w:fldCharType="begin"/>
          </w:r>
          <w:r>
            <w:instrText xml:space="preserve"> HYPERLINK \l "_Toc47384610" </w:instrText>
          </w:r>
          <w:r>
            <w:fldChar w:fldCharType="separate"/>
          </w:r>
          <w:r>
            <w:rPr>
              <w:rStyle w:val="46"/>
              <w:rFonts w:ascii="宋体" w:hAnsi="宋体"/>
            </w:rPr>
            <w:t xml:space="preserve">3.3.5 </w:t>
          </w:r>
          <w:r>
            <w:rPr>
              <w:rStyle w:val="46"/>
              <w:rFonts w:hint="eastAsia" w:ascii="宋体" w:hAnsi="宋体"/>
            </w:rPr>
            <w:t>土壤酸碱度</w:t>
          </w:r>
          <w:r>
            <w:tab/>
          </w:r>
          <w:r>
            <w:fldChar w:fldCharType="begin"/>
          </w:r>
          <w:r>
            <w:instrText xml:space="preserve"> PAGEREF _Toc47384610 \h </w:instrText>
          </w:r>
          <w:r>
            <w:fldChar w:fldCharType="separate"/>
          </w:r>
          <w:r>
            <w:t>31</w:t>
          </w:r>
          <w:r>
            <w:fldChar w:fldCharType="end"/>
          </w:r>
          <w:r>
            <w:fldChar w:fldCharType="end"/>
          </w:r>
        </w:p>
        <w:p w14:paraId="79FC9292">
          <w:pPr>
            <w:pStyle w:val="19"/>
            <w:ind w:left="709"/>
            <w:rPr>
              <w:rFonts w:asciiTheme="minorHAnsi" w:hAnsiTheme="minorHAnsi" w:eastAsiaTheme="minorEastAsia" w:cstheme="minorBidi"/>
              <w:sz w:val="21"/>
              <w:szCs w:val="22"/>
            </w:rPr>
          </w:pPr>
          <w:r>
            <w:fldChar w:fldCharType="begin"/>
          </w:r>
          <w:r>
            <w:instrText xml:space="preserve"> HYPERLINK \l "_Toc47384611" </w:instrText>
          </w:r>
          <w:r>
            <w:fldChar w:fldCharType="separate"/>
          </w:r>
          <w:r>
            <w:rPr>
              <w:rStyle w:val="46"/>
              <w:rFonts w:ascii="宋体" w:hAnsi="宋体"/>
            </w:rPr>
            <w:t xml:space="preserve">3.3.6 </w:t>
          </w:r>
          <w:r>
            <w:rPr>
              <w:rStyle w:val="46"/>
              <w:rFonts w:hint="eastAsia" w:ascii="宋体" w:hAnsi="宋体"/>
            </w:rPr>
            <w:t>障碍层深度</w:t>
          </w:r>
          <w:r>
            <w:tab/>
          </w:r>
          <w:r>
            <w:fldChar w:fldCharType="begin"/>
          </w:r>
          <w:r>
            <w:instrText xml:space="preserve"> PAGEREF _Toc47384611 \h </w:instrText>
          </w:r>
          <w:r>
            <w:fldChar w:fldCharType="separate"/>
          </w:r>
          <w:r>
            <w:t>31</w:t>
          </w:r>
          <w:r>
            <w:fldChar w:fldCharType="end"/>
          </w:r>
          <w:r>
            <w:fldChar w:fldCharType="end"/>
          </w:r>
        </w:p>
        <w:p w14:paraId="04B90CC4">
          <w:pPr>
            <w:pStyle w:val="19"/>
            <w:ind w:left="709"/>
            <w:rPr>
              <w:rFonts w:asciiTheme="minorHAnsi" w:hAnsiTheme="minorHAnsi" w:eastAsiaTheme="minorEastAsia" w:cstheme="minorBidi"/>
              <w:sz w:val="21"/>
              <w:szCs w:val="22"/>
            </w:rPr>
          </w:pPr>
          <w:r>
            <w:fldChar w:fldCharType="begin"/>
          </w:r>
          <w:r>
            <w:instrText xml:space="preserve"> HYPERLINK \l "_Toc47384612" </w:instrText>
          </w:r>
          <w:r>
            <w:fldChar w:fldCharType="separate"/>
          </w:r>
          <w:r>
            <w:rPr>
              <w:rStyle w:val="46"/>
              <w:rFonts w:ascii="宋体" w:hAnsi="宋体"/>
            </w:rPr>
            <w:t xml:space="preserve">3.3.7 </w:t>
          </w:r>
          <w:r>
            <w:rPr>
              <w:rStyle w:val="46"/>
              <w:rFonts w:hint="eastAsia" w:ascii="宋体" w:hAnsi="宋体"/>
            </w:rPr>
            <w:t>地下水埋深</w:t>
          </w:r>
          <w:r>
            <w:tab/>
          </w:r>
          <w:r>
            <w:fldChar w:fldCharType="begin"/>
          </w:r>
          <w:r>
            <w:instrText xml:space="preserve"> PAGEREF _Toc47384612 \h </w:instrText>
          </w:r>
          <w:r>
            <w:fldChar w:fldCharType="separate"/>
          </w:r>
          <w:r>
            <w:t>31</w:t>
          </w:r>
          <w:r>
            <w:fldChar w:fldCharType="end"/>
          </w:r>
          <w:r>
            <w:fldChar w:fldCharType="end"/>
          </w:r>
        </w:p>
        <w:p w14:paraId="075578C6">
          <w:pPr>
            <w:pStyle w:val="19"/>
            <w:ind w:left="709"/>
            <w:rPr>
              <w:rFonts w:asciiTheme="minorHAnsi" w:hAnsiTheme="minorHAnsi" w:eastAsiaTheme="minorEastAsia" w:cstheme="minorBidi"/>
              <w:sz w:val="21"/>
              <w:szCs w:val="22"/>
            </w:rPr>
          </w:pPr>
          <w:r>
            <w:fldChar w:fldCharType="begin"/>
          </w:r>
          <w:r>
            <w:instrText xml:space="preserve"> HYPERLINK \l "_Toc47384613" </w:instrText>
          </w:r>
          <w:r>
            <w:fldChar w:fldCharType="separate"/>
          </w:r>
          <w:r>
            <w:rPr>
              <w:rStyle w:val="46"/>
              <w:rFonts w:ascii="宋体" w:hAnsi="宋体"/>
            </w:rPr>
            <w:t xml:space="preserve">3.3.8 </w:t>
          </w:r>
          <w:r>
            <w:rPr>
              <w:rStyle w:val="46"/>
              <w:rFonts w:hint="eastAsia" w:ascii="宋体" w:hAnsi="宋体"/>
            </w:rPr>
            <w:t>农贸市场影响度</w:t>
          </w:r>
          <w:r>
            <w:tab/>
          </w:r>
          <w:r>
            <w:fldChar w:fldCharType="begin"/>
          </w:r>
          <w:r>
            <w:instrText xml:space="preserve"> PAGEREF _Toc47384613 \h </w:instrText>
          </w:r>
          <w:r>
            <w:fldChar w:fldCharType="separate"/>
          </w:r>
          <w:r>
            <w:t>31</w:t>
          </w:r>
          <w:r>
            <w:fldChar w:fldCharType="end"/>
          </w:r>
          <w:r>
            <w:fldChar w:fldCharType="end"/>
          </w:r>
        </w:p>
        <w:p w14:paraId="4F41DCB7">
          <w:pPr>
            <w:pStyle w:val="19"/>
            <w:ind w:left="709"/>
            <w:rPr>
              <w:rFonts w:asciiTheme="minorHAnsi" w:hAnsiTheme="minorHAnsi" w:eastAsiaTheme="minorEastAsia" w:cstheme="minorBidi"/>
              <w:sz w:val="21"/>
              <w:szCs w:val="22"/>
            </w:rPr>
          </w:pPr>
          <w:r>
            <w:fldChar w:fldCharType="begin"/>
          </w:r>
          <w:r>
            <w:instrText xml:space="preserve"> HYPERLINK \l "_Toc47384614" </w:instrText>
          </w:r>
          <w:r>
            <w:fldChar w:fldCharType="separate"/>
          </w:r>
          <w:r>
            <w:rPr>
              <w:rStyle w:val="46"/>
              <w:rFonts w:ascii="宋体" w:hAnsi="宋体"/>
            </w:rPr>
            <w:t xml:space="preserve">3.3.9 </w:t>
          </w:r>
          <w:r>
            <w:rPr>
              <w:rStyle w:val="46"/>
              <w:rFonts w:hint="eastAsia" w:ascii="宋体" w:hAnsi="宋体"/>
            </w:rPr>
            <w:t>道路通达度</w:t>
          </w:r>
          <w:r>
            <w:tab/>
          </w:r>
          <w:r>
            <w:fldChar w:fldCharType="begin"/>
          </w:r>
          <w:r>
            <w:instrText xml:space="preserve"> PAGEREF _Toc47384614 \h </w:instrText>
          </w:r>
          <w:r>
            <w:fldChar w:fldCharType="separate"/>
          </w:r>
          <w:r>
            <w:t>32</w:t>
          </w:r>
          <w:r>
            <w:fldChar w:fldCharType="end"/>
          </w:r>
          <w:r>
            <w:fldChar w:fldCharType="end"/>
          </w:r>
        </w:p>
        <w:p w14:paraId="1A10F94C">
          <w:pPr>
            <w:pStyle w:val="19"/>
            <w:ind w:left="709"/>
          </w:pPr>
          <w:r>
            <w:fldChar w:fldCharType="begin"/>
          </w:r>
          <w:r>
            <w:instrText xml:space="preserve"> HYPERLINK \l "_Toc47384615" </w:instrText>
          </w:r>
          <w:r>
            <w:fldChar w:fldCharType="separate"/>
          </w:r>
          <w:r>
            <w:t xml:space="preserve">3.3.10 </w:t>
          </w:r>
          <w:r>
            <w:rPr>
              <w:rFonts w:hint="eastAsia"/>
            </w:rPr>
            <w:t>排水条件</w:t>
          </w:r>
          <w:r>
            <w:tab/>
          </w:r>
          <w:r>
            <w:fldChar w:fldCharType="begin"/>
          </w:r>
          <w:r>
            <w:instrText xml:space="preserve"> PAGEREF _Toc47384615 \h </w:instrText>
          </w:r>
          <w:r>
            <w:fldChar w:fldCharType="separate"/>
          </w:r>
          <w:r>
            <w:t>34</w:t>
          </w:r>
          <w:r>
            <w:fldChar w:fldCharType="end"/>
          </w:r>
          <w:r>
            <w:fldChar w:fldCharType="end"/>
          </w:r>
        </w:p>
        <w:p w14:paraId="0D026BBE">
          <w:pPr>
            <w:pStyle w:val="19"/>
            <w:ind w:left="709"/>
          </w:pPr>
          <w:r>
            <w:fldChar w:fldCharType="begin"/>
          </w:r>
          <w:r>
            <w:instrText xml:space="preserve"> HYPERLINK \l "_Toc47384616" </w:instrText>
          </w:r>
          <w:r>
            <w:fldChar w:fldCharType="separate"/>
          </w:r>
          <w:r>
            <w:t>3.3.11</w:t>
          </w:r>
          <w:r>
            <w:rPr>
              <w:rFonts w:hint="eastAsia"/>
            </w:rPr>
            <w:t>灌溉保证率</w:t>
          </w:r>
          <w:r>
            <w:tab/>
          </w:r>
          <w:r>
            <w:fldChar w:fldCharType="begin"/>
          </w:r>
          <w:r>
            <w:instrText xml:space="preserve"> PAGEREF _Toc47384616 \h </w:instrText>
          </w:r>
          <w:r>
            <w:fldChar w:fldCharType="separate"/>
          </w:r>
          <w:r>
            <w:t>34</w:t>
          </w:r>
          <w:r>
            <w:fldChar w:fldCharType="end"/>
          </w:r>
          <w:r>
            <w:fldChar w:fldCharType="end"/>
          </w:r>
        </w:p>
        <w:p w14:paraId="606B3931">
          <w:pPr>
            <w:pStyle w:val="19"/>
            <w:ind w:left="709"/>
          </w:pPr>
          <w:r>
            <w:fldChar w:fldCharType="begin"/>
          </w:r>
          <w:r>
            <w:instrText xml:space="preserve"> HYPERLINK \l "_Toc47384617" </w:instrText>
          </w:r>
          <w:r>
            <w:fldChar w:fldCharType="separate"/>
          </w:r>
          <w:r>
            <w:t>3.3.12</w:t>
          </w:r>
          <w:r>
            <w:rPr>
              <w:rFonts w:hint="eastAsia"/>
            </w:rPr>
            <w:t>亩均纯收益</w:t>
          </w:r>
          <w:r>
            <w:tab/>
          </w:r>
          <w:r>
            <w:fldChar w:fldCharType="begin"/>
          </w:r>
          <w:r>
            <w:instrText xml:space="preserve"> PAGEREF _Toc47384617 \h </w:instrText>
          </w:r>
          <w:r>
            <w:fldChar w:fldCharType="separate"/>
          </w:r>
          <w:r>
            <w:t>35</w:t>
          </w:r>
          <w:r>
            <w:fldChar w:fldCharType="end"/>
          </w:r>
          <w:r>
            <w:fldChar w:fldCharType="end"/>
          </w:r>
        </w:p>
        <w:p w14:paraId="6959BC00">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"_Toc47384618" </w:instrText>
          </w:r>
          <w:r>
            <w:fldChar w:fldCharType="separate"/>
          </w:r>
          <w:r>
            <w:rPr>
              <w:rStyle w:val="46"/>
              <w:rFonts w:ascii="宋体" w:hAnsi="宋体"/>
              <w:bCs/>
            </w:rPr>
            <w:t>3.4</w:t>
          </w:r>
          <w:r>
            <w:rPr>
              <w:rStyle w:val="46"/>
              <w:rFonts w:hint="eastAsia" w:ascii="宋体" w:hAnsi="宋体"/>
              <w:bCs/>
            </w:rPr>
            <w:t>土地定级单元分值计算</w:t>
          </w:r>
          <w:r>
            <w:tab/>
          </w:r>
          <w:r>
            <w:fldChar w:fldCharType="begin"/>
          </w:r>
          <w:r>
            <w:instrText xml:space="preserve"> PAGEREF _Toc47384618 \h </w:instrText>
          </w:r>
          <w:r>
            <w:fldChar w:fldCharType="separate"/>
          </w:r>
          <w:r>
            <w:t>38</w:t>
          </w:r>
          <w:r>
            <w:fldChar w:fldCharType="end"/>
          </w:r>
          <w:r>
            <w:fldChar w:fldCharType="end"/>
          </w:r>
        </w:p>
        <w:p w14:paraId="327D6786">
          <w:pPr>
            <w:pStyle w:val="19"/>
            <w:ind w:left="709"/>
          </w:pPr>
          <w:r>
            <w:fldChar w:fldCharType="begin"/>
          </w:r>
          <w:r>
            <w:instrText xml:space="preserve"> HYPERLINK \l "_Toc47384619" </w:instrText>
          </w:r>
          <w:r>
            <w:fldChar w:fldCharType="separate"/>
          </w:r>
          <w:r>
            <w:t xml:space="preserve">3.4.1 </w:t>
          </w:r>
          <w:r>
            <w:rPr>
              <w:rFonts w:hint="eastAsia"/>
            </w:rPr>
            <w:t>定级单元的划分</w:t>
          </w:r>
          <w:r>
            <w:tab/>
          </w:r>
          <w:r>
            <w:fldChar w:fldCharType="begin"/>
          </w:r>
          <w:r>
            <w:instrText xml:space="preserve"> PAGEREF _Toc47384619 \h </w:instrText>
          </w:r>
          <w:r>
            <w:fldChar w:fldCharType="separate"/>
          </w:r>
          <w:r>
            <w:t>38</w:t>
          </w:r>
          <w:r>
            <w:fldChar w:fldCharType="end"/>
          </w:r>
          <w:r>
            <w:fldChar w:fldCharType="end"/>
          </w:r>
        </w:p>
        <w:p w14:paraId="4F817635">
          <w:pPr>
            <w:pStyle w:val="19"/>
            <w:ind w:left="709"/>
          </w:pPr>
          <w:r>
            <w:fldChar w:fldCharType="begin"/>
          </w:r>
          <w:r>
            <w:instrText xml:space="preserve"> HYPERLINK \l "_Toc47384620" </w:instrText>
          </w:r>
          <w:r>
            <w:fldChar w:fldCharType="separate"/>
          </w:r>
          <w:r>
            <w:t xml:space="preserve">3.4.2 </w:t>
          </w:r>
          <w:r>
            <w:rPr>
              <w:rFonts w:hint="eastAsia"/>
            </w:rPr>
            <w:t>评价单元因子作用分计算</w:t>
          </w:r>
          <w:r>
            <w:tab/>
          </w:r>
          <w:r>
            <w:fldChar w:fldCharType="begin"/>
          </w:r>
          <w:r>
            <w:instrText xml:space="preserve"> PAGEREF _Toc47384620 \h </w:instrText>
          </w:r>
          <w:r>
            <w:fldChar w:fldCharType="separate"/>
          </w:r>
          <w:r>
            <w:t>39</w:t>
          </w:r>
          <w:r>
            <w:fldChar w:fldCharType="end"/>
          </w:r>
          <w:r>
            <w:fldChar w:fldCharType="end"/>
          </w:r>
        </w:p>
        <w:p w14:paraId="0147160B">
          <w:pPr>
            <w:pStyle w:val="19"/>
            <w:ind w:left="709"/>
          </w:pPr>
          <w:r>
            <w:fldChar w:fldCharType="begin"/>
          </w:r>
          <w:r>
            <w:instrText xml:space="preserve"> HYPERLINK \l "_Toc47384621" </w:instrText>
          </w:r>
          <w:r>
            <w:fldChar w:fldCharType="separate"/>
          </w:r>
          <w:r>
            <w:t xml:space="preserve">3.4.3 </w:t>
          </w:r>
          <w:r>
            <w:rPr>
              <w:rFonts w:hint="eastAsia"/>
            </w:rPr>
            <w:t>因素作用分值的最后确定</w:t>
          </w:r>
          <w:r>
            <w:tab/>
          </w:r>
          <w:r>
            <w:fldChar w:fldCharType="begin"/>
          </w:r>
          <w:r>
            <w:instrText xml:space="preserve"> PAGEREF _Toc47384621 \h </w:instrText>
          </w:r>
          <w:r>
            <w:fldChar w:fldCharType="separate"/>
          </w:r>
          <w:r>
            <w:t>40</w:t>
          </w:r>
          <w:r>
            <w:fldChar w:fldCharType="end"/>
          </w:r>
          <w:r>
            <w:fldChar w:fldCharType="end"/>
          </w:r>
        </w:p>
        <w:p w14:paraId="25124F91">
          <w:pPr>
            <w:pStyle w:val="19"/>
            <w:ind w:left="709"/>
          </w:pPr>
          <w:r>
            <w:fldChar w:fldCharType="begin"/>
          </w:r>
          <w:r>
            <w:instrText xml:space="preserve"> HYPERLINK \l "_Toc47384622" </w:instrText>
          </w:r>
          <w:r>
            <w:fldChar w:fldCharType="separate"/>
          </w:r>
          <w:r>
            <w:t xml:space="preserve">3.4.4 </w:t>
          </w:r>
          <w:r>
            <w:rPr>
              <w:rFonts w:hint="eastAsia"/>
            </w:rPr>
            <w:t>单元分值图和各因素作用分值图</w:t>
          </w:r>
          <w:r>
            <w:tab/>
          </w:r>
          <w:r>
            <w:fldChar w:fldCharType="begin"/>
          </w:r>
          <w:r>
            <w:instrText xml:space="preserve"> PAGEREF _Toc47384622 \h </w:instrText>
          </w:r>
          <w:r>
            <w:fldChar w:fldCharType="separate"/>
          </w:r>
          <w:r>
            <w:t>40</w:t>
          </w:r>
          <w:r>
            <w:fldChar w:fldCharType="end"/>
          </w:r>
          <w:r>
            <w:fldChar w:fldCharType="end"/>
          </w:r>
        </w:p>
        <w:p w14:paraId="630299E0">
          <w:pPr>
            <w:pStyle w:val="19"/>
            <w:ind w:left="709"/>
          </w:pPr>
          <w:r>
            <w:fldChar w:fldCharType="begin"/>
          </w:r>
          <w:r>
            <w:instrText xml:space="preserve"> HYPERLINK \l "_Toc47384623" </w:instrText>
          </w:r>
          <w:r>
            <w:fldChar w:fldCharType="separate"/>
          </w:r>
          <w:r>
            <w:t xml:space="preserve">3.4.5 </w:t>
          </w:r>
          <w:r>
            <w:rPr>
              <w:rFonts w:hint="eastAsia"/>
            </w:rPr>
            <w:t>障碍物影响处理</w:t>
          </w:r>
          <w:r>
            <w:tab/>
          </w:r>
          <w:r>
            <w:fldChar w:fldCharType="begin"/>
          </w:r>
          <w:r>
            <w:instrText xml:space="preserve"> PAGEREF _Toc47384623 \h </w:instrText>
          </w:r>
          <w:r>
            <w:fldChar w:fldCharType="separate"/>
          </w:r>
          <w:r>
            <w:t>44</w:t>
          </w:r>
          <w:r>
            <w:fldChar w:fldCharType="end"/>
          </w:r>
          <w:r>
            <w:fldChar w:fldCharType="end"/>
          </w:r>
        </w:p>
        <w:p w14:paraId="36E28856">
          <w:pPr>
            <w:pStyle w:val="19"/>
            <w:ind w:left="709"/>
          </w:pPr>
          <w:r>
            <w:fldChar w:fldCharType="begin"/>
          </w:r>
          <w:r>
            <w:instrText xml:space="preserve"> HYPERLINK \l "_Toc47384624" </w:instrText>
          </w:r>
          <w:r>
            <w:fldChar w:fldCharType="separate"/>
          </w:r>
          <w:r>
            <w:t xml:space="preserve">3.4.6 </w:t>
          </w:r>
          <w:r>
            <w:rPr>
              <w:rFonts w:hint="eastAsia"/>
            </w:rPr>
            <w:t>定级单元总分值计算</w:t>
          </w:r>
          <w:r>
            <w:tab/>
          </w:r>
          <w:r>
            <w:fldChar w:fldCharType="begin"/>
          </w:r>
          <w:r>
            <w:instrText xml:space="preserve"> PAGEREF _Toc47384624 \h </w:instrText>
          </w:r>
          <w:r>
            <w:fldChar w:fldCharType="separate"/>
          </w:r>
          <w:r>
            <w:t>44</w:t>
          </w:r>
          <w:r>
            <w:fldChar w:fldCharType="end"/>
          </w:r>
          <w:r>
            <w:fldChar w:fldCharType="end"/>
          </w:r>
        </w:p>
        <w:p w14:paraId="5F7DFB0E">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"_Toc47384625" </w:instrText>
          </w:r>
          <w:r>
            <w:fldChar w:fldCharType="separate"/>
          </w:r>
          <w:r>
            <w:rPr>
              <w:rStyle w:val="46"/>
              <w:rFonts w:ascii="宋体" w:hAnsi="宋体"/>
              <w:bCs/>
            </w:rPr>
            <w:t xml:space="preserve">3.5 </w:t>
          </w:r>
          <w:r>
            <w:rPr>
              <w:rStyle w:val="46"/>
              <w:rFonts w:hint="eastAsia" w:ascii="宋体" w:hAnsi="宋体"/>
              <w:bCs/>
            </w:rPr>
            <w:t>各类用地级别初步划分</w:t>
          </w:r>
          <w:r>
            <w:tab/>
          </w:r>
          <w:r>
            <w:fldChar w:fldCharType="begin"/>
          </w:r>
          <w:r>
            <w:instrText xml:space="preserve"> PAGEREF _Toc47384625 \h </w:instrText>
          </w:r>
          <w:r>
            <w:fldChar w:fldCharType="separate"/>
          </w:r>
          <w:r>
            <w:t>44</w:t>
          </w:r>
          <w:r>
            <w:fldChar w:fldCharType="end"/>
          </w:r>
          <w:r>
            <w:fldChar w:fldCharType="end"/>
          </w:r>
        </w:p>
        <w:p w14:paraId="6712663F">
          <w:pPr>
            <w:pStyle w:val="19"/>
            <w:ind w:left="709"/>
          </w:pPr>
          <w:r>
            <w:fldChar w:fldCharType="begin"/>
          </w:r>
          <w:r>
            <w:instrText xml:space="preserve"> HYPERLINK \l "_Toc47384626" </w:instrText>
          </w:r>
          <w:r>
            <w:fldChar w:fldCharType="separate"/>
          </w:r>
          <w:r>
            <w:t xml:space="preserve">3.5.1 </w:t>
          </w:r>
          <w:r>
            <w:rPr>
              <w:rFonts w:hint="eastAsia"/>
            </w:rPr>
            <w:t>土地级别确定的原则</w:t>
          </w:r>
          <w:r>
            <w:tab/>
          </w:r>
          <w:r>
            <w:fldChar w:fldCharType="begin"/>
          </w:r>
          <w:r>
            <w:instrText xml:space="preserve"> PAGEREF _Toc47384626 \h </w:instrText>
          </w:r>
          <w:r>
            <w:fldChar w:fldCharType="separate"/>
          </w:r>
          <w:r>
            <w:t>44</w:t>
          </w:r>
          <w:r>
            <w:fldChar w:fldCharType="end"/>
          </w:r>
          <w:r>
            <w:fldChar w:fldCharType="end"/>
          </w:r>
        </w:p>
        <w:p w14:paraId="79CE9EE9">
          <w:pPr>
            <w:pStyle w:val="19"/>
            <w:ind w:left="709"/>
          </w:pPr>
          <w:r>
            <w:fldChar w:fldCharType="begin"/>
          </w:r>
          <w:r>
            <w:instrText xml:space="preserve"> HYPERLINK \l "_Toc47384627" </w:instrText>
          </w:r>
          <w:r>
            <w:fldChar w:fldCharType="separate"/>
          </w:r>
          <w:r>
            <w:t xml:space="preserve">3.5.2 </w:t>
          </w:r>
          <w:r>
            <w:rPr>
              <w:rFonts w:hint="eastAsia"/>
            </w:rPr>
            <w:t>级别总分值界限确定</w:t>
          </w:r>
          <w:r>
            <w:tab/>
          </w:r>
          <w:r>
            <w:fldChar w:fldCharType="begin"/>
          </w:r>
          <w:r>
            <w:instrText xml:space="preserve"> PAGEREF _Toc47384627 \h </w:instrText>
          </w:r>
          <w:r>
            <w:fldChar w:fldCharType="separate"/>
          </w:r>
          <w:r>
            <w:t>45</w:t>
          </w:r>
          <w:r>
            <w:fldChar w:fldCharType="end"/>
          </w:r>
          <w:r>
            <w:fldChar w:fldCharType="end"/>
          </w:r>
        </w:p>
        <w:p w14:paraId="2FA9C5F9">
          <w:pPr>
            <w:pStyle w:val="19"/>
            <w:ind w:left="709"/>
          </w:pPr>
          <w:r>
            <w:fldChar w:fldCharType="begin"/>
          </w:r>
          <w:r>
            <w:instrText xml:space="preserve"> HYPERLINK \l "_Toc47384628" </w:instrText>
          </w:r>
          <w:r>
            <w:fldChar w:fldCharType="separate"/>
          </w:r>
          <w:r>
            <w:t xml:space="preserve">3.5.3 </w:t>
          </w:r>
          <w:r>
            <w:rPr>
              <w:rFonts w:hint="eastAsia"/>
            </w:rPr>
            <w:t>土地级别边界的初步确定</w:t>
          </w:r>
          <w:r>
            <w:tab/>
          </w:r>
          <w:r>
            <w:fldChar w:fldCharType="begin"/>
          </w:r>
          <w:r>
            <w:instrText xml:space="preserve"> PAGEREF _Toc47384628 \h </w:instrText>
          </w:r>
          <w:r>
            <w:fldChar w:fldCharType="separate"/>
          </w:r>
          <w:r>
            <w:t>46</w:t>
          </w:r>
          <w:r>
            <w:fldChar w:fldCharType="end"/>
          </w:r>
          <w:r>
            <w:fldChar w:fldCharType="end"/>
          </w:r>
        </w:p>
        <w:p w14:paraId="6EB9608F">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"_Toc47384629" </w:instrText>
          </w:r>
          <w:r>
            <w:fldChar w:fldCharType="separate"/>
          </w:r>
          <w:r>
            <w:rPr>
              <w:rStyle w:val="46"/>
              <w:rFonts w:ascii="宋体" w:hAnsi="宋体"/>
              <w:bCs/>
            </w:rPr>
            <w:t xml:space="preserve">3.6 </w:t>
          </w:r>
          <w:r>
            <w:rPr>
              <w:rStyle w:val="46"/>
              <w:rFonts w:hint="eastAsia" w:ascii="宋体" w:hAnsi="宋体"/>
              <w:bCs/>
            </w:rPr>
            <w:t>土地级别检验</w:t>
          </w:r>
          <w:r>
            <w:tab/>
          </w:r>
          <w:r>
            <w:fldChar w:fldCharType="begin"/>
          </w:r>
          <w:r>
            <w:instrText xml:space="preserve"> PAGEREF _Toc47384629 \h </w:instrText>
          </w:r>
          <w:r>
            <w:fldChar w:fldCharType="separate"/>
          </w:r>
          <w:r>
            <w:t>46</w:t>
          </w:r>
          <w:r>
            <w:fldChar w:fldCharType="end"/>
          </w:r>
          <w:r>
            <w:fldChar w:fldCharType="end"/>
          </w:r>
        </w:p>
        <w:p w14:paraId="0D11F46F">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"_Toc47384630" </w:instrText>
          </w:r>
          <w:r>
            <w:fldChar w:fldCharType="separate"/>
          </w:r>
          <w:r>
            <w:rPr>
              <w:rStyle w:val="46"/>
              <w:rFonts w:ascii="宋体" w:hAnsi="宋体"/>
              <w:bCs/>
            </w:rPr>
            <w:t xml:space="preserve">3.7 </w:t>
          </w:r>
          <w:r>
            <w:rPr>
              <w:rStyle w:val="46"/>
              <w:rFonts w:hint="eastAsia" w:ascii="宋体" w:hAnsi="宋体"/>
              <w:bCs/>
            </w:rPr>
            <w:t>国有农用地级别面积统计</w:t>
          </w:r>
          <w:r>
            <w:tab/>
          </w:r>
          <w:r>
            <w:fldChar w:fldCharType="begin"/>
          </w:r>
          <w:r>
            <w:instrText xml:space="preserve"> PAGEREF _Toc47384630 \h </w:instrText>
          </w:r>
          <w:r>
            <w:fldChar w:fldCharType="separate"/>
          </w:r>
          <w:r>
            <w:t>46</w:t>
          </w:r>
          <w:r>
            <w:fldChar w:fldCharType="end"/>
          </w:r>
          <w:r>
            <w:fldChar w:fldCharType="end"/>
          </w:r>
        </w:p>
        <w:p w14:paraId="7018C26C">
          <w:pPr>
            <w:pStyle w:val="27"/>
            <w:rPr>
              <w:rFonts w:asciiTheme="minorHAnsi" w:hAnsiTheme="minorHAnsi" w:eastAsiaTheme="minorEastAsia" w:cstheme="minorBidi"/>
              <w:b w:val="0"/>
              <w:bCs w:val="0"/>
              <w:iCs w:val="0"/>
              <w:sz w:val="21"/>
              <w:szCs w:val="22"/>
            </w:rPr>
          </w:pPr>
          <w:r>
            <w:fldChar w:fldCharType="begin"/>
          </w:r>
          <w:r>
            <w:instrText xml:space="preserve"> HYPERLINK \l "_Toc47384631" </w:instrText>
          </w:r>
          <w:r>
            <w:fldChar w:fldCharType="separate"/>
          </w:r>
          <w:r>
            <w:rPr>
              <w:rStyle w:val="46"/>
              <w:rFonts w:hint="eastAsia" w:ascii="黑体" w:hAnsi="黑体" w:eastAsia="黑体"/>
            </w:rPr>
            <w:t>第四章国有农用地基准地价评估</w:t>
          </w:r>
          <w:r>
            <w:tab/>
          </w:r>
          <w:r>
            <w:fldChar w:fldCharType="begin"/>
          </w:r>
          <w:r>
            <w:instrText xml:space="preserve"> PAGEREF _Toc47384631 \h </w:instrText>
          </w:r>
          <w:r>
            <w:fldChar w:fldCharType="separate"/>
          </w:r>
          <w:r>
            <w:t>47</w:t>
          </w:r>
          <w:r>
            <w:fldChar w:fldCharType="end"/>
          </w:r>
          <w:r>
            <w:fldChar w:fldCharType="end"/>
          </w:r>
        </w:p>
        <w:p w14:paraId="7AC1DA64">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"_Toc47384632" </w:instrText>
          </w:r>
          <w:r>
            <w:fldChar w:fldCharType="separate"/>
          </w:r>
          <w:r>
            <w:rPr>
              <w:rStyle w:val="46"/>
              <w:rFonts w:ascii="宋体" w:hAnsi="宋体"/>
              <w:bCs/>
            </w:rPr>
            <w:t xml:space="preserve">4.1 </w:t>
          </w:r>
          <w:r>
            <w:rPr>
              <w:rStyle w:val="46"/>
              <w:rFonts w:hint="eastAsia" w:ascii="宋体" w:hAnsi="宋体"/>
              <w:bCs/>
            </w:rPr>
            <w:t>国有农用地基准地价内涵</w:t>
          </w:r>
          <w:r>
            <w:tab/>
          </w:r>
          <w:r>
            <w:fldChar w:fldCharType="begin"/>
          </w:r>
          <w:r>
            <w:instrText xml:space="preserve"> PAGEREF _Toc47384632 \h </w:instrText>
          </w:r>
          <w:r>
            <w:fldChar w:fldCharType="separate"/>
          </w:r>
          <w:r>
            <w:t>47</w:t>
          </w:r>
          <w:r>
            <w:fldChar w:fldCharType="end"/>
          </w:r>
          <w:r>
            <w:fldChar w:fldCharType="end"/>
          </w:r>
        </w:p>
        <w:p w14:paraId="2EB7850C">
          <w:pPr>
            <w:pStyle w:val="33"/>
            <w:tabs>
              <w:tab w:val="right" w:leader="dot" w:pos="8296"/>
            </w:tabs>
            <w:ind w:left="708" w:leftChars="337"/>
            <w:rPr>
              <w:rFonts w:asciiTheme="minorHAnsi" w:hAnsiTheme="minorHAnsi" w:eastAsiaTheme="minorEastAsia" w:cstheme="minorBidi"/>
              <w:szCs w:val="22"/>
            </w:rPr>
          </w:pPr>
          <w:r>
            <w:fldChar w:fldCharType="begin"/>
          </w:r>
          <w:r>
            <w:instrText xml:space="preserve"> HYPERLINK \l "_Toc47384633" </w:instrText>
          </w:r>
          <w:r>
            <w:fldChar w:fldCharType="separate"/>
          </w:r>
          <w:r>
            <w:rPr>
              <w:rStyle w:val="46"/>
              <w:rFonts w:ascii="宋体" w:hAnsi="宋体"/>
              <w:bCs/>
            </w:rPr>
            <w:t xml:space="preserve">4.2 </w:t>
          </w:r>
          <w:r>
            <w:rPr>
              <w:rStyle w:val="46"/>
              <w:rFonts w:hint="eastAsia" w:ascii="宋体" w:hAnsi="宋体"/>
              <w:bCs/>
            </w:rPr>
            <w:t>估价技术方法</w:t>
          </w:r>
          <w:r>
            <w:tab/>
          </w:r>
          <w:r>
            <w:fldChar w:fldCharType="begin"/>
          </w:r>
          <w:r>
            <w:instrText xml:space="preserve"> PAGEREF _Toc47384633 \h </w:instrText>
          </w:r>
          <w:r>
            <w:fldChar w:fldCharType="separate"/>
          </w:r>
          <w:r>
            <w:t>47</w:t>
          </w:r>
          <w:r>
            <w:fldChar w:fldCharType="end"/>
          </w:r>
          <w:r>
            <w:fldChar w:fldCharType="end"/>
          </w:r>
        </w:p>
        <w:p w14:paraId="354E14BD">
          <w:pPr>
            <w:pStyle w:val="19"/>
            <w:ind w:left="708" w:leftChars="337"/>
            <w:rPr>
              <w:rFonts w:asciiTheme="minorHAnsi" w:hAnsiTheme="minorHAnsi" w:eastAsiaTheme="minorEastAsia" w:cstheme="minorBidi"/>
              <w:sz w:val="21"/>
              <w:szCs w:val="22"/>
            </w:rPr>
          </w:pPr>
          <w:r>
            <w:fldChar w:fldCharType="begin"/>
          </w:r>
          <w:r>
            <w:instrText xml:space="preserve"> HYPERLINK \l "_Toc47384634" </w:instrText>
          </w:r>
          <w:r>
            <w:fldChar w:fldCharType="separate"/>
          </w:r>
          <w:r>
            <w:rPr>
              <w:rStyle w:val="46"/>
              <w:rFonts w:ascii="宋体" w:hAnsi="宋体"/>
            </w:rPr>
            <w:t xml:space="preserve">4.2.1 </w:t>
          </w:r>
          <w:r>
            <w:rPr>
              <w:rStyle w:val="46"/>
              <w:rFonts w:hint="eastAsia" w:ascii="宋体" w:hAnsi="宋体"/>
            </w:rPr>
            <w:t>技术思路</w:t>
          </w:r>
          <w:r>
            <w:tab/>
          </w:r>
          <w:r>
            <w:fldChar w:fldCharType="begin"/>
          </w:r>
          <w:r>
            <w:instrText xml:space="preserve"> PAGEREF _Toc47384634 \h </w:instrText>
          </w:r>
          <w:r>
            <w:fldChar w:fldCharType="separate"/>
          </w:r>
          <w:r>
            <w:t>47</w:t>
          </w:r>
          <w:r>
            <w:fldChar w:fldCharType="end"/>
          </w:r>
          <w:r>
            <w:fldChar w:fldCharType="end"/>
          </w:r>
        </w:p>
        <w:p w14:paraId="518F1756">
          <w:pPr>
            <w:pStyle w:val="33"/>
            <w:tabs>
              <w:tab w:val="right" w:leader="dot" w:pos="8296"/>
            </w:tabs>
            <w:ind w:left="708" w:leftChars="337"/>
          </w:pPr>
          <w:r>
            <w:fldChar w:fldCharType="begin"/>
          </w:r>
          <w:r>
            <w:instrText xml:space="preserve"> HYPERLINK \l "_Toc47384635" </w:instrText>
          </w:r>
          <w:r>
            <w:fldChar w:fldCharType="separate"/>
          </w:r>
          <w:r>
            <w:t xml:space="preserve">4.2.2 </w:t>
          </w:r>
          <w:r>
            <w:rPr>
              <w:rFonts w:hint="eastAsia"/>
            </w:rPr>
            <w:t>估价方法选定</w:t>
          </w:r>
          <w:r>
            <w:tab/>
          </w:r>
          <w:r>
            <w:fldChar w:fldCharType="begin"/>
          </w:r>
          <w:r>
            <w:instrText xml:space="preserve"> PAGEREF _Toc47384635 \h </w:instrText>
          </w:r>
          <w:r>
            <w:fldChar w:fldCharType="separate"/>
          </w:r>
          <w:r>
            <w:t>48</w:t>
          </w:r>
          <w:r>
            <w:fldChar w:fldCharType="end"/>
          </w:r>
          <w:r>
            <w:fldChar w:fldCharType="end"/>
          </w:r>
        </w:p>
        <w:p w14:paraId="7B0EF1DD">
          <w:pPr>
            <w:pStyle w:val="33"/>
            <w:tabs>
              <w:tab w:val="right" w:leader="dot" w:pos="8296"/>
            </w:tabs>
            <w:ind w:left="708" w:leftChars="337"/>
          </w:pPr>
          <w:r>
            <w:fldChar w:fldCharType="begin"/>
          </w:r>
          <w:r>
            <w:instrText xml:space="preserve"> HYPERLINK \l "_Toc47384636" </w:instrText>
          </w:r>
          <w:r>
            <w:fldChar w:fldCharType="separate"/>
          </w:r>
          <w:r>
            <w:t>4.2.3</w:t>
          </w:r>
          <w:r>
            <w:rPr>
              <w:rFonts w:hint="eastAsia"/>
            </w:rPr>
            <w:t>还原率确定</w:t>
          </w:r>
          <w:r>
            <w:tab/>
          </w:r>
          <w:r>
            <w:fldChar w:fldCharType="begin"/>
          </w:r>
          <w:r>
            <w:instrText xml:space="preserve"> PAGEREF _Toc47384636 \h </w:instrText>
          </w:r>
          <w:r>
            <w:fldChar w:fldCharType="separate"/>
          </w:r>
          <w:r>
            <w:t>51</w:t>
          </w:r>
          <w:r>
            <w:fldChar w:fldCharType="end"/>
          </w:r>
          <w:r>
            <w:fldChar w:fldCharType="end"/>
          </w:r>
        </w:p>
        <w:p w14:paraId="067C1B3C">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"_Toc47384637" </w:instrText>
          </w:r>
          <w:r>
            <w:fldChar w:fldCharType="separate"/>
          </w:r>
          <w:r>
            <w:rPr>
              <w:rStyle w:val="46"/>
              <w:rFonts w:ascii="宋体" w:hAnsi="宋体"/>
              <w:bCs/>
            </w:rPr>
            <w:t xml:space="preserve">4.3 </w:t>
          </w:r>
          <w:r>
            <w:rPr>
              <w:rStyle w:val="46"/>
              <w:rFonts w:hint="eastAsia" w:ascii="宋体" w:hAnsi="宋体"/>
              <w:bCs/>
            </w:rPr>
            <w:t>基准地价地价测算过程</w:t>
          </w:r>
          <w:r>
            <w:tab/>
          </w:r>
          <w:r>
            <w:fldChar w:fldCharType="begin"/>
          </w:r>
          <w:r>
            <w:instrText xml:space="preserve"> PAGEREF _Toc47384637 \h </w:instrText>
          </w:r>
          <w:r>
            <w:fldChar w:fldCharType="separate"/>
          </w:r>
          <w:r>
            <w:t>52</w:t>
          </w:r>
          <w:r>
            <w:fldChar w:fldCharType="end"/>
          </w:r>
          <w:r>
            <w:fldChar w:fldCharType="end"/>
          </w:r>
        </w:p>
        <w:p w14:paraId="0A171BCD">
          <w:pPr>
            <w:pStyle w:val="19"/>
            <w:ind w:left="709"/>
            <w:rPr>
              <w:rFonts w:asciiTheme="minorHAnsi" w:hAnsiTheme="minorHAnsi" w:eastAsiaTheme="minorEastAsia" w:cstheme="minorBidi"/>
              <w:sz w:val="21"/>
              <w:szCs w:val="22"/>
            </w:rPr>
          </w:pPr>
          <w:r>
            <w:fldChar w:fldCharType="begin"/>
          </w:r>
          <w:r>
            <w:instrText xml:space="preserve"> HYPERLINK \l "_Toc47384638" </w:instrText>
          </w:r>
          <w:r>
            <w:fldChar w:fldCharType="separate"/>
          </w:r>
          <w:r>
            <w:rPr>
              <w:rStyle w:val="46"/>
              <w:rFonts w:ascii="宋体" w:hAnsi="宋体"/>
            </w:rPr>
            <w:t xml:space="preserve">4.3.1 </w:t>
          </w:r>
          <w:r>
            <w:rPr>
              <w:rStyle w:val="46"/>
              <w:rFonts w:hint="eastAsia" w:ascii="宋体" w:hAnsi="宋体"/>
            </w:rPr>
            <w:t>收益还原法（投入</w:t>
          </w:r>
          <w:r>
            <w:rPr>
              <w:rStyle w:val="46"/>
              <w:rFonts w:ascii="宋体" w:hAnsi="宋体"/>
            </w:rPr>
            <w:t>—</w:t>
          </w:r>
          <w:r>
            <w:rPr>
              <w:rStyle w:val="46"/>
              <w:rFonts w:hint="eastAsia" w:ascii="宋体" w:hAnsi="宋体"/>
            </w:rPr>
            <w:t>产出）</w:t>
          </w:r>
          <w:r>
            <w:tab/>
          </w:r>
          <w:r>
            <w:fldChar w:fldCharType="begin"/>
          </w:r>
          <w:r>
            <w:instrText xml:space="preserve"> PAGEREF _Toc47384638 \h </w:instrText>
          </w:r>
          <w:r>
            <w:fldChar w:fldCharType="separate"/>
          </w:r>
          <w:r>
            <w:t>52</w:t>
          </w:r>
          <w:r>
            <w:fldChar w:fldCharType="end"/>
          </w:r>
          <w:r>
            <w:fldChar w:fldCharType="end"/>
          </w:r>
        </w:p>
        <w:p w14:paraId="249B9625">
          <w:pPr>
            <w:pStyle w:val="19"/>
            <w:ind w:left="709"/>
            <w:rPr>
              <w:rFonts w:asciiTheme="minorHAnsi" w:hAnsiTheme="minorHAnsi" w:eastAsiaTheme="minorEastAsia" w:cstheme="minorBidi"/>
              <w:sz w:val="21"/>
              <w:szCs w:val="22"/>
            </w:rPr>
          </w:pPr>
          <w:r>
            <w:fldChar w:fldCharType="begin"/>
          </w:r>
          <w:r>
            <w:instrText xml:space="preserve"> HYPERLINK \l "_Toc47384639" </w:instrText>
          </w:r>
          <w:r>
            <w:fldChar w:fldCharType="separate"/>
          </w:r>
          <w:r>
            <w:rPr>
              <w:rStyle w:val="46"/>
              <w:rFonts w:ascii="宋体" w:hAnsi="宋体"/>
            </w:rPr>
            <w:t xml:space="preserve">4.3.2 </w:t>
          </w:r>
          <w:r>
            <w:rPr>
              <w:rStyle w:val="46"/>
              <w:rFonts w:hint="eastAsia" w:ascii="宋体" w:hAnsi="宋体"/>
            </w:rPr>
            <w:t>市场比较法</w:t>
          </w:r>
          <w:r>
            <w:tab/>
          </w:r>
          <w:r>
            <w:fldChar w:fldCharType="begin"/>
          </w:r>
          <w:r>
            <w:instrText xml:space="preserve"> PAGEREF _Toc47384639 \h </w:instrText>
          </w:r>
          <w:r>
            <w:fldChar w:fldCharType="separate"/>
          </w:r>
          <w:r>
            <w:t>54</w:t>
          </w:r>
          <w:r>
            <w:fldChar w:fldCharType="end"/>
          </w:r>
          <w:r>
            <w:fldChar w:fldCharType="end"/>
          </w:r>
        </w:p>
        <w:p w14:paraId="0D32BF3D">
          <w:pPr>
            <w:pStyle w:val="19"/>
            <w:rPr>
              <w:rFonts w:asciiTheme="minorHAnsi" w:hAnsiTheme="minorHAnsi" w:eastAsiaTheme="minorEastAsia" w:cstheme="minorBidi"/>
              <w:sz w:val="21"/>
              <w:szCs w:val="22"/>
            </w:rPr>
          </w:pPr>
          <w:r>
            <w:fldChar w:fldCharType="begin"/>
          </w:r>
          <w:r>
            <w:instrText xml:space="preserve"> HYPERLINK \l "_Toc47384640" </w:instrText>
          </w:r>
          <w:r>
            <w:fldChar w:fldCharType="separate"/>
          </w:r>
          <w:r>
            <w:rPr>
              <w:rStyle w:val="46"/>
              <w:rFonts w:ascii="宋体" w:hAnsi="宋体"/>
            </w:rPr>
            <w:t xml:space="preserve">4.3.3 </w:t>
          </w:r>
          <w:r>
            <w:rPr>
              <w:rStyle w:val="46"/>
              <w:rFonts w:hint="eastAsia" w:ascii="宋体" w:hAnsi="宋体"/>
            </w:rPr>
            <w:t>国有农用地基准地价价格确定</w:t>
          </w:r>
          <w:r>
            <w:tab/>
          </w:r>
          <w:r>
            <w:fldChar w:fldCharType="begin"/>
          </w:r>
          <w:r>
            <w:instrText xml:space="preserve"> PAGEREF _Toc47384640 \h </w:instrText>
          </w:r>
          <w:r>
            <w:fldChar w:fldCharType="separate"/>
          </w:r>
          <w:r>
            <w:t>56</w:t>
          </w:r>
          <w:r>
            <w:fldChar w:fldCharType="end"/>
          </w:r>
          <w:r>
            <w:fldChar w:fldCharType="end"/>
          </w:r>
        </w:p>
        <w:p w14:paraId="43609AA7">
          <w:pPr>
            <w:pStyle w:val="19"/>
            <w:ind w:left="709"/>
          </w:pPr>
          <w:r>
            <w:fldChar w:fldCharType="begin"/>
          </w:r>
          <w:r>
            <w:instrText xml:space="preserve"> HYPERLINK \l "_Toc47384641" </w:instrText>
          </w:r>
          <w:r>
            <w:fldChar w:fldCharType="separate"/>
          </w:r>
          <w:r>
            <w:t xml:space="preserve">4.3.4 </w:t>
          </w:r>
          <w:r>
            <w:rPr>
              <w:rFonts w:hint="eastAsia"/>
            </w:rPr>
            <w:t>地价检验与有效样点的确定：</w:t>
          </w:r>
          <w:r>
            <w:tab/>
          </w:r>
          <w:r>
            <w:fldChar w:fldCharType="begin"/>
          </w:r>
          <w:r>
            <w:instrText xml:space="preserve"> PAGEREF _Toc47384641 \h </w:instrText>
          </w:r>
          <w:r>
            <w:fldChar w:fldCharType="separate"/>
          </w:r>
          <w:r>
            <w:t>56</w:t>
          </w:r>
          <w:r>
            <w:fldChar w:fldCharType="end"/>
          </w:r>
          <w:r>
            <w:fldChar w:fldCharType="end"/>
          </w:r>
        </w:p>
        <w:p w14:paraId="6D703FA0">
          <w:pPr>
            <w:pStyle w:val="19"/>
            <w:ind w:left="709"/>
          </w:pPr>
          <w:r>
            <w:fldChar w:fldCharType="begin"/>
          </w:r>
          <w:r>
            <w:instrText xml:space="preserve"> HYPERLINK \l "_Toc47384642" </w:instrText>
          </w:r>
          <w:r>
            <w:fldChar w:fldCharType="separate"/>
          </w:r>
          <w:r>
            <w:t xml:space="preserve">4.3.5 </w:t>
          </w:r>
          <w:r>
            <w:rPr>
              <w:rFonts w:hint="eastAsia"/>
            </w:rPr>
            <w:t>样点数据修正</w:t>
          </w:r>
          <w:r>
            <w:tab/>
          </w:r>
          <w:r>
            <w:fldChar w:fldCharType="begin"/>
          </w:r>
          <w:r>
            <w:instrText xml:space="preserve"> PAGEREF _Toc47384642 \h </w:instrText>
          </w:r>
          <w:r>
            <w:fldChar w:fldCharType="separate"/>
          </w:r>
          <w:r>
            <w:t>57</w:t>
          </w:r>
          <w:r>
            <w:fldChar w:fldCharType="end"/>
          </w:r>
          <w:r>
            <w:fldChar w:fldCharType="end"/>
          </w:r>
        </w:p>
        <w:p w14:paraId="4C79FAF6">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"_Toc47384643" </w:instrText>
          </w:r>
          <w:r>
            <w:fldChar w:fldCharType="separate"/>
          </w:r>
          <w:r>
            <w:rPr>
              <w:rStyle w:val="46"/>
              <w:rFonts w:ascii="宋体" w:hAnsi="宋体"/>
              <w:bCs/>
            </w:rPr>
            <w:t xml:space="preserve">4.4 </w:t>
          </w:r>
          <w:r>
            <w:rPr>
              <w:rStyle w:val="46"/>
              <w:rFonts w:hint="eastAsia" w:ascii="宋体" w:hAnsi="宋体"/>
              <w:bCs/>
            </w:rPr>
            <w:t>基准地价评估结果</w:t>
          </w:r>
          <w:r>
            <w:tab/>
          </w:r>
          <w:r>
            <w:fldChar w:fldCharType="begin"/>
          </w:r>
          <w:r>
            <w:instrText xml:space="preserve"> PAGEREF _Toc47384643 \h </w:instrText>
          </w:r>
          <w:r>
            <w:fldChar w:fldCharType="separate"/>
          </w:r>
          <w:r>
            <w:t>58</w:t>
          </w:r>
          <w:r>
            <w:fldChar w:fldCharType="end"/>
          </w:r>
          <w:r>
            <w:fldChar w:fldCharType="end"/>
          </w:r>
        </w:p>
        <w:p w14:paraId="2615333D">
          <w:pPr>
            <w:pStyle w:val="27"/>
            <w:rPr>
              <w:rFonts w:asciiTheme="minorHAnsi" w:hAnsiTheme="minorHAnsi" w:eastAsiaTheme="minorEastAsia" w:cstheme="minorBidi"/>
              <w:b w:val="0"/>
              <w:bCs w:val="0"/>
              <w:iCs w:val="0"/>
              <w:sz w:val="21"/>
              <w:szCs w:val="22"/>
            </w:rPr>
          </w:pPr>
          <w:r>
            <w:fldChar w:fldCharType="begin"/>
          </w:r>
          <w:r>
            <w:instrText xml:space="preserve"> HYPERLINK \l "_Toc47384644" </w:instrText>
          </w:r>
          <w:r>
            <w:fldChar w:fldCharType="separate"/>
          </w:r>
          <w:r>
            <w:rPr>
              <w:rStyle w:val="46"/>
              <w:rFonts w:hint="eastAsia" w:ascii="黑体" w:hAnsi="黑体" w:eastAsia="黑体"/>
            </w:rPr>
            <w:t>第五章基准地价修正体系编制</w:t>
          </w:r>
          <w:r>
            <w:tab/>
          </w:r>
          <w:r>
            <w:fldChar w:fldCharType="begin"/>
          </w:r>
          <w:r>
            <w:instrText xml:space="preserve"> PAGEREF _Toc47384644 \h </w:instrText>
          </w:r>
          <w:r>
            <w:fldChar w:fldCharType="separate"/>
          </w:r>
          <w:r>
            <w:t>59</w:t>
          </w:r>
          <w:r>
            <w:fldChar w:fldCharType="end"/>
          </w:r>
          <w:r>
            <w:fldChar w:fldCharType="end"/>
          </w:r>
        </w:p>
        <w:p w14:paraId="65AB512C">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"_Toc47384645" </w:instrText>
          </w:r>
          <w:r>
            <w:fldChar w:fldCharType="separate"/>
          </w:r>
          <w:r>
            <w:rPr>
              <w:rStyle w:val="46"/>
              <w:rFonts w:ascii="宋体" w:hAnsi="宋体"/>
              <w:bCs/>
            </w:rPr>
            <w:t xml:space="preserve">5.1 </w:t>
          </w:r>
          <w:r>
            <w:rPr>
              <w:rStyle w:val="46"/>
              <w:rFonts w:hint="eastAsia" w:ascii="宋体" w:hAnsi="宋体"/>
              <w:bCs/>
            </w:rPr>
            <w:t>基准地价修正体系及编制原理</w:t>
          </w:r>
          <w:r>
            <w:tab/>
          </w:r>
          <w:r>
            <w:fldChar w:fldCharType="begin"/>
          </w:r>
          <w:r>
            <w:instrText xml:space="preserve"> PAGEREF _Toc47384645 \h </w:instrText>
          </w:r>
          <w:r>
            <w:fldChar w:fldCharType="separate"/>
          </w:r>
          <w:r>
            <w:t>59</w:t>
          </w:r>
          <w:r>
            <w:fldChar w:fldCharType="end"/>
          </w:r>
          <w:r>
            <w:fldChar w:fldCharType="end"/>
          </w:r>
        </w:p>
        <w:p w14:paraId="69D7155B">
          <w:pPr>
            <w:pStyle w:val="19"/>
            <w:ind w:left="709"/>
            <w:rPr>
              <w:rFonts w:asciiTheme="minorHAnsi" w:hAnsiTheme="minorHAnsi" w:eastAsiaTheme="minorEastAsia" w:cstheme="minorBidi"/>
              <w:sz w:val="21"/>
              <w:szCs w:val="22"/>
            </w:rPr>
          </w:pPr>
          <w:r>
            <w:fldChar w:fldCharType="begin"/>
          </w:r>
          <w:r>
            <w:instrText xml:space="preserve"> HYPERLINK \l "_Toc47384646" </w:instrText>
          </w:r>
          <w:r>
            <w:fldChar w:fldCharType="separate"/>
          </w:r>
          <w:r>
            <w:rPr>
              <w:rStyle w:val="46"/>
              <w:rFonts w:ascii="宋体" w:hAnsi="宋体"/>
            </w:rPr>
            <w:t xml:space="preserve">5.1.1 </w:t>
          </w:r>
          <w:r>
            <w:rPr>
              <w:rStyle w:val="46"/>
              <w:rFonts w:hint="eastAsia" w:ascii="宋体" w:hAnsi="宋体"/>
            </w:rPr>
            <w:t>基准地价修正体系</w:t>
          </w:r>
          <w:r>
            <w:tab/>
          </w:r>
          <w:r>
            <w:fldChar w:fldCharType="begin"/>
          </w:r>
          <w:r>
            <w:instrText xml:space="preserve"> PAGEREF _Toc47384646 \h </w:instrText>
          </w:r>
          <w:r>
            <w:fldChar w:fldCharType="separate"/>
          </w:r>
          <w:r>
            <w:t>59</w:t>
          </w:r>
          <w:r>
            <w:fldChar w:fldCharType="end"/>
          </w:r>
          <w:r>
            <w:fldChar w:fldCharType="end"/>
          </w:r>
        </w:p>
        <w:p w14:paraId="2E8571C5">
          <w:pPr>
            <w:pStyle w:val="19"/>
            <w:ind w:left="709"/>
            <w:rPr>
              <w:rFonts w:asciiTheme="minorHAnsi" w:hAnsiTheme="minorHAnsi" w:eastAsiaTheme="minorEastAsia" w:cstheme="minorBidi"/>
              <w:sz w:val="21"/>
              <w:szCs w:val="22"/>
            </w:rPr>
          </w:pPr>
          <w:r>
            <w:fldChar w:fldCharType="begin"/>
          </w:r>
          <w:r>
            <w:instrText xml:space="preserve"> HYPERLINK \l "_Toc47384647" </w:instrText>
          </w:r>
          <w:r>
            <w:fldChar w:fldCharType="separate"/>
          </w:r>
          <w:r>
            <w:rPr>
              <w:rStyle w:val="46"/>
              <w:rFonts w:ascii="宋体" w:hAnsi="宋体"/>
            </w:rPr>
            <w:t xml:space="preserve">5.1.2 </w:t>
          </w:r>
          <w:r>
            <w:rPr>
              <w:rStyle w:val="46"/>
              <w:rFonts w:hint="eastAsia" w:ascii="宋体" w:hAnsi="宋体"/>
            </w:rPr>
            <w:t>基准地价修正因素及其权重确定</w:t>
          </w:r>
          <w:r>
            <w:tab/>
          </w:r>
          <w:r>
            <w:fldChar w:fldCharType="begin"/>
          </w:r>
          <w:r>
            <w:instrText xml:space="preserve"> PAGEREF _Toc47384647 \h </w:instrText>
          </w:r>
          <w:r>
            <w:fldChar w:fldCharType="separate"/>
          </w:r>
          <w:r>
            <w:t>59</w:t>
          </w:r>
          <w:r>
            <w:fldChar w:fldCharType="end"/>
          </w:r>
          <w:r>
            <w:fldChar w:fldCharType="end"/>
          </w:r>
        </w:p>
        <w:p w14:paraId="2B17C301">
          <w:pPr>
            <w:pStyle w:val="19"/>
            <w:ind w:left="709"/>
            <w:rPr>
              <w:rFonts w:asciiTheme="minorHAnsi" w:hAnsiTheme="minorHAnsi" w:eastAsiaTheme="minorEastAsia" w:cstheme="minorBidi"/>
              <w:sz w:val="21"/>
              <w:szCs w:val="22"/>
            </w:rPr>
          </w:pPr>
          <w:r>
            <w:fldChar w:fldCharType="begin"/>
          </w:r>
          <w:r>
            <w:instrText xml:space="preserve"> HYPERLINK \l "_Toc47384648" </w:instrText>
          </w:r>
          <w:r>
            <w:fldChar w:fldCharType="separate"/>
          </w:r>
          <w:r>
            <w:rPr>
              <w:rStyle w:val="46"/>
              <w:rFonts w:ascii="宋体" w:hAnsi="宋体"/>
            </w:rPr>
            <w:t xml:space="preserve">5.1.3 </w:t>
          </w:r>
          <w:r>
            <w:rPr>
              <w:rStyle w:val="46"/>
              <w:rFonts w:hint="eastAsia" w:ascii="宋体" w:hAnsi="宋体"/>
            </w:rPr>
            <w:t>基准地价修正体系编制原理</w:t>
          </w:r>
          <w:r>
            <w:tab/>
          </w:r>
          <w:r>
            <w:fldChar w:fldCharType="begin"/>
          </w:r>
          <w:r>
            <w:instrText xml:space="preserve"> PAGEREF _Toc47384648 \h </w:instrText>
          </w:r>
          <w:r>
            <w:fldChar w:fldCharType="separate"/>
          </w:r>
          <w:r>
            <w:t>60</w:t>
          </w:r>
          <w:r>
            <w:fldChar w:fldCharType="end"/>
          </w:r>
          <w:r>
            <w:fldChar w:fldCharType="end"/>
          </w:r>
        </w:p>
        <w:p w14:paraId="7A63CA31">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"_Toc47384649" </w:instrText>
          </w:r>
          <w:r>
            <w:fldChar w:fldCharType="separate"/>
          </w:r>
          <w:r>
            <w:rPr>
              <w:rStyle w:val="46"/>
              <w:rFonts w:ascii="宋体" w:hAnsi="宋体"/>
              <w:bCs/>
            </w:rPr>
            <w:t xml:space="preserve">5.2 </w:t>
          </w:r>
          <w:r>
            <w:rPr>
              <w:rStyle w:val="46"/>
              <w:rFonts w:hint="eastAsia" w:ascii="宋体" w:hAnsi="宋体"/>
              <w:bCs/>
            </w:rPr>
            <w:t>区域因素修正</w:t>
          </w:r>
          <w:r>
            <w:tab/>
          </w:r>
          <w:r>
            <w:fldChar w:fldCharType="begin"/>
          </w:r>
          <w:r>
            <w:instrText xml:space="preserve"> PAGEREF _Toc47384649 \h </w:instrText>
          </w:r>
          <w:r>
            <w:fldChar w:fldCharType="separate"/>
          </w:r>
          <w:r>
            <w:t>62</w:t>
          </w:r>
          <w:r>
            <w:fldChar w:fldCharType="end"/>
          </w:r>
          <w:r>
            <w:fldChar w:fldCharType="end"/>
          </w:r>
        </w:p>
        <w:p w14:paraId="3AB30BFA">
          <w:pPr>
            <w:pStyle w:val="19"/>
            <w:ind w:left="709"/>
          </w:pPr>
          <w:r>
            <w:fldChar w:fldCharType="begin"/>
          </w:r>
          <w:r>
            <w:instrText xml:space="preserve"> HYPERLINK \l "_Toc47384650" </w:instrText>
          </w:r>
          <w:r>
            <w:fldChar w:fldCharType="separate"/>
          </w:r>
          <w:r>
            <w:t xml:space="preserve">5.2.1 </w:t>
          </w:r>
          <w:r>
            <w:rPr>
              <w:rFonts w:hint="eastAsia"/>
            </w:rPr>
            <w:t>选择宗地地价影响因素因子并确定权重</w:t>
          </w:r>
          <w:r>
            <w:tab/>
          </w:r>
          <w:r>
            <w:fldChar w:fldCharType="begin"/>
          </w:r>
          <w:r>
            <w:instrText xml:space="preserve"> PAGEREF _Toc47384650 \h </w:instrText>
          </w:r>
          <w:r>
            <w:fldChar w:fldCharType="separate"/>
          </w:r>
          <w:r>
            <w:t>62</w:t>
          </w:r>
          <w:r>
            <w:fldChar w:fldCharType="end"/>
          </w:r>
          <w:r>
            <w:fldChar w:fldCharType="end"/>
          </w:r>
        </w:p>
        <w:p w14:paraId="46C76376">
          <w:pPr>
            <w:pStyle w:val="19"/>
            <w:ind w:left="709"/>
          </w:pPr>
          <w:r>
            <w:fldChar w:fldCharType="begin"/>
          </w:r>
          <w:r>
            <w:instrText xml:space="preserve"> HYPERLINK \l "_Toc47384651" </w:instrText>
          </w:r>
          <w:r>
            <w:fldChar w:fldCharType="separate"/>
          </w:r>
          <w:r>
            <w:t xml:space="preserve">5.2.2 </w:t>
          </w:r>
          <w:r>
            <w:rPr>
              <w:rFonts w:hint="eastAsia"/>
            </w:rPr>
            <w:t>测算地价修正幅度值</w:t>
          </w:r>
          <w:r>
            <w:tab/>
          </w:r>
          <w:r>
            <w:fldChar w:fldCharType="begin"/>
          </w:r>
          <w:r>
            <w:instrText xml:space="preserve"> PAGEREF _Toc47384651 \h </w:instrText>
          </w:r>
          <w:r>
            <w:fldChar w:fldCharType="separate"/>
          </w:r>
          <w:r>
            <w:t>62</w:t>
          </w:r>
          <w:r>
            <w:fldChar w:fldCharType="end"/>
          </w:r>
          <w:r>
            <w:fldChar w:fldCharType="end"/>
          </w:r>
        </w:p>
        <w:p w14:paraId="524FF170">
          <w:pPr>
            <w:pStyle w:val="19"/>
            <w:ind w:left="709"/>
          </w:pPr>
          <w:r>
            <w:fldChar w:fldCharType="begin"/>
          </w:r>
          <w:r>
            <w:instrText xml:space="preserve"> HYPERLINK \l "_Toc47384652" </w:instrText>
          </w:r>
          <w:r>
            <w:fldChar w:fldCharType="separate"/>
          </w:r>
          <w:r>
            <w:t xml:space="preserve">5.2.3 </w:t>
          </w:r>
          <w:r>
            <w:rPr>
              <w:rFonts w:hint="eastAsia"/>
            </w:rPr>
            <w:t>因素修正系数值的计算及修正系数表及说明表的编制</w:t>
          </w:r>
          <w:r>
            <w:tab/>
          </w:r>
          <w:r>
            <w:fldChar w:fldCharType="begin"/>
          </w:r>
          <w:r>
            <w:instrText xml:space="preserve"> PAGEREF _Toc47384652 \h </w:instrText>
          </w:r>
          <w:r>
            <w:fldChar w:fldCharType="separate"/>
          </w:r>
          <w:r>
            <w:t>63</w:t>
          </w:r>
          <w:r>
            <w:fldChar w:fldCharType="end"/>
          </w:r>
          <w:r>
            <w:fldChar w:fldCharType="end"/>
          </w:r>
        </w:p>
        <w:p w14:paraId="1C5A30A9">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"_Toc47384653" </w:instrText>
          </w:r>
          <w:r>
            <w:fldChar w:fldCharType="separate"/>
          </w:r>
          <w:r>
            <w:rPr>
              <w:rStyle w:val="46"/>
              <w:rFonts w:ascii="宋体" w:hAnsi="宋体"/>
              <w:bCs/>
            </w:rPr>
            <w:t xml:space="preserve">5.3 </w:t>
          </w:r>
          <w:r>
            <w:rPr>
              <w:rStyle w:val="46"/>
              <w:rFonts w:hint="eastAsia" w:ascii="宋体" w:hAnsi="宋体"/>
              <w:bCs/>
            </w:rPr>
            <w:t>个别因素修正</w:t>
          </w:r>
          <w:r>
            <w:tab/>
          </w:r>
          <w:r>
            <w:fldChar w:fldCharType="begin"/>
          </w:r>
          <w:r>
            <w:instrText xml:space="preserve"> PAGEREF _Toc47384653 \h </w:instrText>
          </w:r>
          <w:r>
            <w:fldChar w:fldCharType="separate"/>
          </w:r>
          <w:r>
            <w:t>66</w:t>
          </w:r>
          <w:r>
            <w:fldChar w:fldCharType="end"/>
          </w:r>
          <w:r>
            <w:fldChar w:fldCharType="end"/>
          </w:r>
        </w:p>
        <w:p w14:paraId="700D4003">
          <w:pPr>
            <w:pStyle w:val="19"/>
            <w:ind w:left="709"/>
            <w:rPr>
              <w:rFonts w:asciiTheme="minorHAnsi" w:hAnsiTheme="minorHAnsi" w:eastAsiaTheme="minorEastAsia" w:cstheme="minorBidi"/>
              <w:sz w:val="21"/>
              <w:szCs w:val="22"/>
            </w:rPr>
          </w:pPr>
          <w:r>
            <w:fldChar w:fldCharType="begin"/>
          </w:r>
          <w:r>
            <w:instrText xml:space="preserve"> HYPERLINK \l "_Toc47384654" </w:instrText>
          </w:r>
          <w:r>
            <w:fldChar w:fldCharType="separate"/>
          </w:r>
          <w:r>
            <w:rPr>
              <w:rStyle w:val="46"/>
              <w:rFonts w:ascii="宋体" w:hAnsi="宋体"/>
            </w:rPr>
            <w:t xml:space="preserve">5.3.1 </w:t>
          </w:r>
          <w:r>
            <w:rPr>
              <w:rStyle w:val="46"/>
              <w:rFonts w:hint="eastAsia" w:ascii="宋体" w:hAnsi="宋体"/>
            </w:rPr>
            <w:t>国有农用地利用影响因素修正</w:t>
          </w:r>
          <w:r>
            <w:tab/>
          </w:r>
          <w:r>
            <w:fldChar w:fldCharType="begin"/>
          </w:r>
          <w:r>
            <w:instrText xml:space="preserve"> PAGEREF _Toc47384654 \h </w:instrText>
          </w:r>
          <w:r>
            <w:fldChar w:fldCharType="separate"/>
          </w:r>
          <w:r>
            <w:t>66</w:t>
          </w:r>
          <w:r>
            <w:fldChar w:fldCharType="end"/>
          </w:r>
          <w:r>
            <w:fldChar w:fldCharType="end"/>
          </w:r>
        </w:p>
        <w:p w14:paraId="68F12362">
          <w:pPr>
            <w:pStyle w:val="19"/>
            <w:ind w:left="709"/>
            <w:rPr>
              <w:rFonts w:asciiTheme="minorHAnsi" w:hAnsiTheme="minorHAnsi" w:eastAsiaTheme="minorEastAsia" w:cstheme="minorBidi"/>
              <w:sz w:val="21"/>
              <w:szCs w:val="22"/>
            </w:rPr>
          </w:pPr>
          <w:r>
            <w:fldChar w:fldCharType="begin"/>
          </w:r>
          <w:r>
            <w:instrText xml:space="preserve"> HYPERLINK \l "_Toc47384655" </w:instrText>
          </w:r>
          <w:r>
            <w:fldChar w:fldCharType="separate"/>
          </w:r>
          <w:r>
            <w:rPr>
              <w:rStyle w:val="46"/>
              <w:rFonts w:ascii="宋体" w:hAnsi="宋体"/>
            </w:rPr>
            <w:t xml:space="preserve">5.3.2 </w:t>
          </w:r>
          <w:r>
            <w:rPr>
              <w:rStyle w:val="46"/>
              <w:rFonts w:hint="eastAsia" w:ascii="宋体" w:hAnsi="宋体"/>
            </w:rPr>
            <w:t>年期修正</w:t>
          </w:r>
          <w:r>
            <w:tab/>
          </w:r>
          <w:r>
            <w:fldChar w:fldCharType="begin"/>
          </w:r>
          <w:r>
            <w:instrText xml:space="preserve"> PAGEREF _Toc47384655 \h </w:instrText>
          </w:r>
          <w:r>
            <w:fldChar w:fldCharType="separate"/>
          </w:r>
          <w:r>
            <w:t>67</w:t>
          </w:r>
          <w:r>
            <w:fldChar w:fldCharType="end"/>
          </w:r>
          <w:r>
            <w:fldChar w:fldCharType="end"/>
          </w:r>
        </w:p>
        <w:p w14:paraId="0DAE8D5A">
          <w:pPr>
            <w:pStyle w:val="19"/>
            <w:ind w:left="709"/>
            <w:rPr>
              <w:rFonts w:asciiTheme="minorHAnsi" w:hAnsiTheme="minorHAnsi" w:eastAsiaTheme="minorEastAsia" w:cstheme="minorBidi"/>
              <w:sz w:val="21"/>
              <w:szCs w:val="22"/>
            </w:rPr>
          </w:pPr>
          <w:r>
            <w:fldChar w:fldCharType="begin"/>
          </w:r>
          <w:r>
            <w:instrText xml:space="preserve"> HYPERLINK \l "_Toc47384656" </w:instrText>
          </w:r>
          <w:r>
            <w:fldChar w:fldCharType="separate"/>
          </w:r>
          <w:r>
            <w:rPr>
              <w:rStyle w:val="46"/>
              <w:rFonts w:ascii="宋体" w:hAnsi="宋体"/>
            </w:rPr>
            <w:t xml:space="preserve">5.3.3 </w:t>
          </w:r>
          <w:r>
            <w:rPr>
              <w:rStyle w:val="46"/>
              <w:rFonts w:hint="eastAsia" w:ascii="宋体" w:hAnsi="宋体"/>
            </w:rPr>
            <w:t>交易期日修正系数</w:t>
          </w:r>
          <w:r>
            <w:tab/>
          </w:r>
          <w:r>
            <w:fldChar w:fldCharType="begin"/>
          </w:r>
          <w:r>
            <w:instrText xml:space="preserve"> PAGEREF _Toc47384656 \h </w:instrText>
          </w:r>
          <w:r>
            <w:fldChar w:fldCharType="separate"/>
          </w:r>
          <w:r>
            <w:t>68</w:t>
          </w:r>
          <w:r>
            <w:fldChar w:fldCharType="end"/>
          </w:r>
          <w:r>
            <w:fldChar w:fldCharType="end"/>
          </w:r>
        </w:p>
        <w:p w14:paraId="37029274">
          <w:pPr>
            <w:pStyle w:val="27"/>
            <w:rPr>
              <w:rFonts w:asciiTheme="minorHAnsi" w:hAnsiTheme="minorHAnsi" w:eastAsiaTheme="minorEastAsia" w:cstheme="minorBidi"/>
              <w:b w:val="0"/>
              <w:bCs w:val="0"/>
              <w:iCs w:val="0"/>
              <w:sz w:val="21"/>
              <w:szCs w:val="22"/>
            </w:rPr>
          </w:pPr>
          <w:r>
            <w:fldChar w:fldCharType="begin"/>
          </w:r>
          <w:r>
            <w:instrText xml:space="preserve"> HYPERLINK \l "_Toc47384657" </w:instrText>
          </w:r>
          <w:r>
            <w:fldChar w:fldCharType="separate"/>
          </w:r>
          <w:r>
            <w:rPr>
              <w:rStyle w:val="46"/>
              <w:rFonts w:hint="eastAsia" w:ascii="黑体" w:hAnsi="黑体" w:eastAsia="黑体"/>
            </w:rPr>
            <w:t>第六章国有农用地基准地价成果应用</w:t>
          </w:r>
          <w:r>
            <w:tab/>
          </w:r>
          <w:r>
            <w:fldChar w:fldCharType="begin"/>
          </w:r>
          <w:r>
            <w:instrText xml:space="preserve"> PAGEREF _Toc47384657 \h </w:instrText>
          </w:r>
          <w:r>
            <w:fldChar w:fldCharType="separate"/>
          </w:r>
          <w:r>
            <w:t>69</w:t>
          </w:r>
          <w:r>
            <w:fldChar w:fldCharType="end"/>
          </w:r>
          <w:r>
            <w:fldChar w:fldCharType="end"/>
          </w:r>
        </w:p>
        <w:p w14:paraId="7E699495">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"_Toc47384658" </w:instrText>
          </w:r>
          <w:r>
            <w:fldChar w:fldCharType="separate"/>
          </w:r>
          <w:r>
            <w:rPr>
              <w:rStyle w:val="46"/>
              <w:rFonts w:ascii="宋体" w:hAnsi="宋体"/>
              <w:bCs/>
            </w:rPr>
            <w:t xml:space="preserve">6.1 </w:t>
          </w:r>
          <w:r>
            <w:rPr>
              <w:rStyle w:val="46"/>
              <w:rFonts w:hint="eastAsia" w:ascii="宋体" w:hAnsi="宋体"/>
              <w:bCs/>
            </w:rPr>
            <w:t>成果内容</w:t>
          </w:r>
          <w:r>
            <w:tab/>
          </w:r>
          <w:r>
            <w:fldChar w:fldCharType="begin"/>
          </w:r>
          <w:r>
            <w:instrText xml:space="preserve"> PAGEREF _Toc47384658 \h </w:instrText>
          </w:r>
          <w:r>
            <w:fldChar w:fldCharType="separate"/>
          </w:r>
          <w:r>
            <w:t>69</w:t>
          </w:r>
          <w:r>
            <w:fldChar w:fldCharType="end"/>
          </w:r>
          <w:r>
            <w:fldChar w:fldCharType="end"/>
          </w:r>
        </w:p>
        <w:p w14:paraId="3D298517">
          <w:pPr>
            <w:pStyle w:val="33"/>
            <w:tabs>
              <w:tab w:val="right" w:leader="dot" w:pos="8296"/>
            </w:tabs>
            <w:rPr>
              <w:rFonts w:asciiTheme="minorHAnsi" w:hAnsiTheme="minorHAnsi" w:eastAsiaTheme="minorEastAsia" w:cstheme="minorBidi"/>
              <w:szCs w:val="22"/>
            </w:rPr>
          </w:pPr>
          <w:r>
            <w:fldChar w:fldCharType="begin"/>
          </w:r>
          <w:r>
            <w:instrText xml:space="preserve"> HYPERLINK \l "_Toc47384659" </w:instrText>
          </w:r>
          <w:r>
            <w:fldChar w:fldCharType="separate"/>
          </w:r>
          <w:r>
            <w:rPr>
              <w:rStyle w:val="46"/>
              <w:rFonts w:ascii="宋体" w:hAnsi="宋体"/>
              <w:bCs/>
            </w:rPr>
            <w:t xml:space="preserve">6.2 </w:t>
          </w:r>
          <w:r>
            <w:rPr>
              <w:rStyle w:val="46"/>
              <w:rFonts w:hint="eastAsia" w:ascii="宋体" w:hAnsi="宋体"/>
              <w:bCs/>
            </w:rPr>
            <w:t>成果应用</w:t>
          </w:r>
          <w:r>
            <w:tab/>
          </w:r>
          <w:r>
            <w:fldChar w:fldCharType="begin"/>
          </w:r>
          <w:r>
            <w:instrText xml:space="preserve"> PAGEREF _Toc47384659 \h </w:instrText>
          </w:r>
          <w:r>
            <w:fldChar w:fldCharType="separate"/>
          </w:r>
          <w:r>
            <w:t>69</w:t>
          </w:r>
          <w:r>
            <w:fldChar w:fldCharType="end"/>
          </w:r>
          <w:r>
            <w:fldChar w:fldCharType="end"/>
          </w:r>
        </w:p>
        <w:p w14:paraId="57CAAF15">
          <w:pPr>
            <w:pStyle w:val="19"/>
            <w:ind w:left="709"/>
          </w:pPr>
          <w:r>
            <w:fldChar w:fldCharType="begin"/>
          </w:r>
          <w:r>
            <w:instrText xml:space="preserve"> HYPERLINK \l "_Toc47384660" </w:instrText>
          </w:r>
          <w:r>
            <w:fldChar w:fldCharType="separate"/>
          </w:r>
          <w:r>
            <w:t xml:space="preserve">6.2.1 </w:t>
          </w:r>
          <w:r>
            <w:rPr>
              <w:rFonts w:hint="eastAsia"/>
            </w:rPr>
            <w:t>为显化资产，加强国有农用地管理提供依据</w:t>
          </w:r>
          <w:r>
            <w:tab/>
          </w:r>
          <w:r>
            <w:fldChar w:fldCharType="begin"/>
          </w:r>
          <w:r>
            <w:instrText xml:space="preserve"> PAGEREF _Toc47384660 \h </w:instrText>
          </w:r>
          <w:r>
            <w:fldChar w:fldCharType="separate"/>
          </w:r>
          <w:r>
            <w:t>70</w:t>
          </w:r>
          <w:r>
            <w:fldChar w:fldCharType="end"/>
          </w:r>
          <w:r>
            <w:fldChar w:fldCharType="end"/>
          </w:r>
        </w:p>
        <w:p w14:paraId="0B3BADE6">
          <w:pPr>
            <w:pStyle w:val="19"/>
            <w:ind w:left="709"/>
          </w:pPr>
          <w:r>
            <w:fldChar w:fldCharType="begin"/>
          </w:r>
          <w:r>
            <w:instrText xml:space="preserve"> HYPERLINK \l "_Toc47384661" </w:instrText>
          </w:r>
          <w:r>
            <w:fldChar w:fldCharType="separate"/>
          </w:r>
          <w:r>
            <w:t xml:space="preserve">6.2.2 </w:t>
          </w:r>
          <w:r>
            <w:rPr>
              <w:rFonts w:hint="eastAsia"/>
            </w:rPr>
            <w:t>为国有农用地使用权价格评估奠定基础</w:t>
          </w:r>
          <w:r>
            <w:tab/>
          </w:r>
          <w:r>
            <w:fldChar w:fldCharType="begin"/>
          </w:r>
          <w:r>
            <w:instrText xml:space="preserve"> PAGEREF _Toc47384661 \h </w:instrText>
          </w:r>
          <w:r>
            <w:fldChar w:fldCharType="separate"/>
          </w:r>
          <w:r>
            <w:t>70</w:t>
          </w:r>
          <w:r>
            <w:fldChar w:fldCharType="end"/>
          </w:r>
          <w:r>
            <w:fldChar w:fldCharType="end"/>
          </w:r>
        </w:p>
        <w:p w14:paraId="10EDAC42">
          <w:pPr>
            <w:pStyle w:val="19"/>
            <w:ind w:left="709"/>
          </w:pPr>
          <w:r>
            <w:fldChar w:fldCharType="begin"/>
          </w:r>
          <w:r>
            <w:instrText xml:space="preserve"> HYPERLINK \l "_Toc47384662" </w:instrText>
          </w:r>
          <w:r>
            <w:fldChar w:fldCharType="separate"/>
          </w:r>
          <w:r>
            <w:t xml:space="preserve">6.2.3 </w:t>
          </w:r>
          <w:r>
            <w:rPr>
              <w:rFonts w:hint="eastAsia"/>
            </w:rPr>
            <w:t>为国有农用地流转价值评估提供参考</w:t>
          </w:r>
          <w:r>
            <w:tab/>
          </w:r>
          <w:r>
            <w:fldChar w:fldCharType="begin"/>
          </w:r>
          <w:r>
            <w:instrText xml:space="preserve"> PAGEREF _Toc47384662 \h </w:instrText>
          </w:r>
          <w:r>
            <w:fldChar w:fldCharType="separate"/>
          </w:r>
          <w:r>
            <w:t>70</w:t>
          </w:r>
          <w:r>
            <w:fldChar w:fldCharType="end"/>
          </w:r>
          <w:r>
            <w:fldChar w:fldCharType="end"/>
          </w:r>
        </w:p>
        <w:p w14:paraId="160BA92A">
          <w:pPr>
            <w:pStyle w:val="27"/>
            <w:rPr>
              <w:rFonts w:asciiTheme="minorHAnsi" w:hAnsiTheme="minorHAnsi" w:eastAsiaTheme="minorEastAsia" w:cstheme="minorBidi"/>
              <w:b w:val="0"/>
              <w:bCs w:val="0"/>
              <w:iCs w:val="0"/>
              <w:sz w:val="21"/>
              <w:szCs w:val="22"/>
            </w:rPr>
          </w:pPr>
          <w:r>
            <w:fldChar w:fldCharType="begin"/>
          </w:r>
          <w:r>
            <w:instrText xml:space="preserve"> HYPERLINK \l "_Toc47384663" </w:instrText>
          </w:r>
          <w:r>
            <w:fldChar w:fldCharType="separate"/>
          </w:r>
          <w:r>
            <w:rPr>
              <w:rStyle w:val="46"/>
              <w:rFonts w:hint="eastAsia" w:ascii="黑体" w:hAnsi="黑体" w:eastAsia="黑体"/>
            </w:rPr>
            <w:t>附件一：鄂州市国有农用地级别与基准地价图</w:t>
          </w:r>
          <w:r>
            <w:tab/>
          </w:r>
          <w:r>
            <w:fldChar w:fldCharType="begin"/>
          </w:r>
          <w:r>
            <w:instrText xml:space="preserve"> PAGEREF _Toc47384663 \h </w:instrText>
          </w:r>
          <w:r>
            <w:fldChar w:fldCharType="separate"/>
          </w:r>
          <w:r>
            <w:t>71</w:t>
          </w:r>
          <w:r>
            <w:fldChar w:fldCharType="end"/>
          </w:r>
          <w:r>
            <w:fldChar w:fldCharType="end"/>
          </w:r>
        </w:p>
        <w:p w14:paraId="63A3EDC9">
          <w:pPr>
            <w:ind w:firstLine="422"/>
          </w:pPr>
          <w:r>
            <w:rPr>
              <w:b/>
              <w:bCs/>
              <w:lang w:val="zh-CN"/>
            </w:rPr>
            <w:fldChar w:fldCharType="end"/>
          </w:r>
        </w:p>
      </w:sdtContent>
    </w:sdt>
    <w:p w14:paraId="0A6090FD">
      <w:pPr>
        <w:ind w:firstLine="883"/>
        <w:rPr>
          <w:rFonts w:eastAsia="黑体"/>
          <w:b/>
          <w:bCs/>
          <w:smallCaps/>
          <w:sz w:val="44"/>
          <w:szCs w:val="44"/>
        </w:rPr>
        <w:sectPr>
          <w:type w:val="continuous"/>
          <w:pgSz w:w="11906" w:h="16838"/>
          <w:pgMar w:top="1440" w:right="1800" w:bottom="1440" w:left="1800" w:header="851" w:footer="992" w:gutter="0"/>
          <w:cols w:space="425" w:num="1"/>
          <w:docGrid w:type="lines" w:linePitch="312" w:charSpace="0"/>
        </w:sectPr>
      </w:pPr>
      <w:bookmarkStart w:id="0" w:name="_Toc203224922"/>
      <w:bookmarkStart w:id="1" w:name="_Toc332554464"/>
      <w:bookmarkStart w:id="2" w:name="_Toc203225030"/>
      <w:bookmarkStart w:id="3" w:name="_Toc528263585"/>
    </w:p>
    <w:p w14:paraId="47FB75B3">
      <w:pPr>
        <w:ind w:firstLine="883"/>
        <w:rPr>
          <w:rFonts w:eastAsia="黑体"/>
          <w:b/>
          <w:bCs/>
          <w:smallCaps/>
          <w:sz w:val="44"/>
          <w:szCs w:val="44"/>
        </w:rPr>
      </w:pPr>
      <w:r>
        <w:rPr>
          <w:rFonts w:eastAsia="黑体"/>
          <w:b/>
          <w:bCs/>
          <w:smallCaps/>
          <w:sz w:val="44"/>
          <w:szCs w:val="44"/>
        </w:rPr>
        <w:br w:type="page"/>
      </w:r>
    </w:p>
    <w:p w14:paraId="58821B4D">
      <w:pPr>
        <w:pStyle w:val="2"/>
        <w:keepNext w:val="0"/>
        <w:keepLines w:val="0"/>
        <w:pageBreakBefore/>
        <w:widowControl w:val="0"/>
        <w:tabs>
          <w:tab w:val="left" w:pos="1440"/>
        </w:tabs>
        <w:spacing w:line="360" w:lineRule="auto"/>
        <w:ind w:left="578" w:hanging="578" w:hangingChars="192"/>
        <w:jc w:val="center"/>
        <w:rPr>
          <w:rFonts w:ascii="黑体" w:hAnsi="黑体" w:eastAsia="黑体"/>
          <w:sz w:val="30"/>
          <w:szCs w:val="30"/>
        </w:rPr>
      </w:pPr>
      <w:bookmarkStart w:id="4" w:name="_Toc47384577"/>
      <w:r>
        <w:rPr>
          <w:rFonts w:ascii="黑体" w:hAnsi="黑体" w:eastAsia="黑体"/>
          <w:sz w:val="30"/>
          <w:szCs w:val="30"/>
        </w:rPr>
        <w:t>第一章 概</w:t>
      </w:r>
      <w:bookmarkEnd w:id="0"/>
      <w:bookmarkEnd w:id="1"/>
      <w:bookmarkEnd w:id="2"/>
      <w:r>
        <w:rPr>
          <w:rFonts w:ascii="黑体" w:hAnsi="黑体" w:eastAsia="黑体"/>
          <w:sz w:val="30"/>
          <w:szCs w:val="30"/>
        </w:rPr>
        <w:t>况</w:t>
      </w:r>
      <w:bookmarkEnd w:id="3"/>
      <w:bookmarkEnd w:id="4"/>
    </w:p>
    <w:p w14:paraId="671829A8">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5" w:name="_Toc47384578"/>
      <w:bookmarkStart w:id="6" w:name="_Toc528263586"/>
      <w:bookmarkStart w:id="7" w:name="_Toc332554465"/>
      <w:bookmarkStart w:id="8" w:name="_Toc203225031"/>
      <w:bookmarkStart w:id="9" w:name="_Toc203224923"/>
      <w:r>
        <w:rPr>
          <w:rFonts w:ascii="宋体" w:hAnsi="宋体"/>
          <w:bCs/>
          <w:kern w:val="2"/>
          <w:szCs w:val="28"/>
        </w:rPr>
        <w:t>1.</w:t>
      </w:r>
      <w:r>
        <w:rPr>
          <w:rFonts w:hint="eastAsia" w:ascii="宋体" w:hAnsi="宋体"/>
          <w:bCs/>
          <w:kern w:val="2"/>
          <w:szCs w:val="28"/>
        </w:rPr>
        <w:t>1</w:t>
      </w:r>
      <w:r>
        <w:rPr>
          <w:rFonts w:ascii="宋体" w:hAnsi="宋体"/>
          <w:bCs/>
          <w:kern w:val="2"/>
          <w:szCs w:val="28"/>
        </w:rPr>
        <w:t xml:space="preserve"> 鄂州市概况</w:t>
      </w:r>
      <w:bookmarkEnd w:id="5"/>
      <w:bookmarkEnd w:id="6"/>
    </w:p>
    <w:p w14:paraId="7C9B3463">
      <w:pPr>
        <w:pStyle w:val="4"/>
        <w:widowControl w:val="0"/>
        <w:tabs>
          <w:tab w:val="left" w:pos="720"/>
        </w:tabs>
        <w:spacing w:before="120" w:after="120" w:line="500" w:lineRule="exact"/>
        <w:ind w:left="826" w:hanging="826"/>
        <w:jc w:val="both"/>
        <w:rPr>
          <w:rFonts w:ascii="宋体" w:hAnsi="宋体"/>
          <w:sz w:val="24"/>
          <w:szCs w:val="24"/>
        </w:rPr>
      </w:pPr>
      <w:bookmarkStart w:id="10" w:name="_Toc534833307"/>
      <w:bookmarkStart w:id="11" w:name="_Toc535399888"/>
      <w:bookmarkStart w:id="12" w:name="_Toc332554455"/>
      <w:bookmarkStart w:id="13" w:name="_Toc528263588"/>
      <w:bookmarkStart w:id="14" w:name="_Toc203224918"/>
      <w:bookmarkStart w:id="15" w:name="_Toc47384579"/>
      <w:r>
        <w:rPr>
          <w:rFonts w:hint="eastAsia" w:ascii="宋体" w:hAnsi="宋体"/>
          <w:sz w:val="24"/>
          <w:szCs w:val="24"/>
        </w:rPr>
        <w:t>1</w:t>
      </w:r>
      <w:r>
        <w:rPr>
          <w:rFonts w:ascii="宋体" w:hAnsi="宋体"/>
          <w:sz w:val="24"/>
          <w:szCs w:val="24"/>
        </w:rPr>
        <w:t>.1.1 地理位置</w:t>
      </w:r>
      <w:bookmarkEnd w:id="10"/>
      <w:bookmarkEnd w:id="11"/>
      <w:bookmarkEnd w:id="12"/>
      <w:bookmarkEnd w:id="13"/>
      <w:bookmarkEnd w:id="14"/>
      <w:bookmarkEnd w:id="15"/>
    </w:p>
    <w:p w14:paraId="15DF75E1">
      <w:pPr>
        <w:pStyle w:val="12"/>
        <w:spacing w:line="500" w:lineRule="exact"/>
        <w:ind w:firstLine="480" w:firstLineChars="200"/>
        <w:rPr>
          <w:rFonts w:ascii="Times New Roman" w:hAnsi="Times New Roman" w:cs="Times New Roman"/>
          <w:sz w:val="24"/>
        </w:rPr>
      </w:pPr>
      <w:bookmarkStart w:id="16" w:name="_Toc203224919"/>
      <w:r>
        <w:rPr>
          <w:rFonts w:ascii="Times New Roman" w:hAnsi="Times New Roman" w:cs="Times New Roman"/>
          <w:sz w:val="24"/>
        </w:rPr>
        <w:t>鄂州市地处东经114°32′~115°05′，北纬30°00′~30°06′，位于湖北省东部，滨于长江中游南岸</w:t>
      </w:r>
      <w:r>
        <w:rPr>
          <w:rFonts w:hint="eastAsia" w:ascii="Times New Roman" w:hAnsi="Times New Roman" w:cs="Times New Roman"/>
          <w:sz w:val="24"/>
        </w:rPr>
        <w:t>，</w:t>
      </w:r>
      <w:r>
        <w:rPr>
          <w:rFonts w:ascii="Times New Roman" w:hAnsi="Times New Roman" w:cs="Times New Roman"/>
          <w:sz w:val="24"/>
        </w:rPr>
        <w:t>西邻武汉，东接黄石，北望黄冈。鄂州居中独厚，北距首都北京、东距上海、西距重庆、南距广州均在1000公里左右。鄂州市国土总面积1596.45平方公里，其中耕地总面积约406平方公里</w:t>
      </w:r>
      <w:bookmarkStart w:id="17" w:name="ref_[4]_47557"/>
      <w:bookmarkEnd w:id="17"/>
      <w:r>
        <w:rPr>
          <w:rFonts w:ascii="Times New Roman" w:hAnsi="Times New Roman" w:cs="Times New Roman"/>
          <w:sz w:val="24"/>
        </w:rPr>
        <w:t>。鄂州市以湖而名，依水而兴，境内拥有大小湖泊133个，水域面积广阔，是著名的“百湖之市”、“鱼米之乡”。</w:t>
      </w:r>
    </w:p>
    <w:p w14:paraId="73475C67">
      <w:pPr>
        <w:pStyle w:val="12"/>
        <w:spacing w:line="360" w:lineRule="auto"/>
        <w:ind w:firstLine="0"/>
        <w:rPr>
          <w:rFonts w:ascii="Times New Roman" w:hAnsi="Times New Roman" w:cs="Times New Roman"/>
        </w:rPr>
      </w:pPr>
      <w:r>
        <w:rPr>
          <w:rFonts w:ascii="Times New Roman" w:hAnsi="Times New Roman" w:eastAsia="仿宋_GB2312" w:cs="Times New Roman"/>
          <w:bCs/>
          <w:sz w:val="28"/>
        </w:rPr>
        <w:drawing>
          <wp:inline distT="0" distB="0" distL="0" distR="0">
            <wp:extent cx="5324475" cy="3314700"/>
            <wp:effectExtent l="0" t="0" r="9525" b="0"/>
            <wp:docPr id="1" name="图片 1" descr="鄂州市区位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鄂州市区位图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324475" cy="3314700"/>
                    </a:xfrm>
                    <a:prstGeom prst="rect">
                      <a:avLst/>
                    </a:prstGeom>
                    <a:noFill/>
                    <a:ln>
                      <a:noFill/>
                    </a:ln>
                  </pic:spPr>
                </pic:pic>
              </a:graphicData>
            </a:graphic>
          </wp:inline>
        </w:drawing>
      </w:r>
    </w:p>
    <w:p w14:paraId="76AD3614">
      <w:pPr>
        <w:spacing w:line="360" w:lineRule="auto"/>
        <w:ind w:firstLine="422"/>
        <w:jc w:val="center"/>
        <w:rPr>
          <w:b/>
          <w:color w:val="000000"/>
          <w:szCs w:val="21"/>
        </w:rPr>
      </w:pPr>
      <w:r>
        <w:rPr>
          <w:b/>
          <w:color w:val="000000"/>
          <w:szCs w:val="21"/>
        </w:rPr>
        <w:t>图1-1 鄂州市在湖北省的位置示意图</w:t>
      </w:r>
    </w:p>
    <w:p w14:paraId="588F9E85">
      <w:pPr>
        <w:pStyle w:val="4"/>
        <w:widowControl w:val="0"/>
        <w:tabs>
          <w:tab w:val="left" w:pos="720"/>
        </w:tabs>
        <w:spacing w:before="120" w:after="120" w:line="500" w:lineRule="exact"/>
        <w:ind w:left="826" w:hanging="826"/>
        <w:jc w:val="both"/>
        <w:rPr>
          <w:rFonts w:ascii="宋体" w:hAnsi="宋体"/>
          <w:sz w:val="24"/>
          <w:szCs w:val="24"/>
        </w:rPr>
      </w:pPr>
      <w:bookmarkStart w:id="18" w:name="_Toc528263589"/>
      <w:bookmarkStart w:id="19" w:name="_Toc534833308"/>
      <w:bookmarkStart w:id="20" w:name="_Toc535399889"/>
      <w:bookmarkStart w:id="21" w:name="_Toc332554457"/>
      <w:bookmarkStart w:id="22" w:name="_Toc47384580"/>
      <w:r>
        <w:rPr>
          <w:rFonts w:hint="eastAsia" w:ascii="宋体" w:hAnsi="宋体"/>
          <w:sz w:val="24"/>
          <w:szCs w:val="24"/>
        </w:rPr>
        <w:t>1</w:t>
      </w:r>
      <w:r>
        <w:rPr>
          <w:rFonts w:ascii="宋体" w:hAnsi="宋体"/>
          <w:sz w:val="24"/>
          <w:szCs w:val="24"/>
        </w:rPr>
        <w:t>.1.2 自然条件</w:t>
      </w:r>
      <w:bookmarkEnd w:id="16"/>
      <w:bookmarkEnd w:id="18"/>
      <w:bookmarkEnd w:id="19"/>
      <w:bookmarkEnd w:id="20"/>
      <w:bookmarkEnd w:id="21"/>
      <w:bookmarkEnd w:id="22"/>
    </w:p>
    <w:p w14:paraId="4C84363F">
      <w:pPr>
        <w:pStyle w:val="17"/>
        <w:spacing w:line="500" w:lineRule="exact"/>
        <w:ind w:firstLine="492" w:firstLineChars="196"/>
        <w:rPr>
          <w:rFonts w:ascii="Times New Roman" w:hAnsi="Times New Roman" w:cs="Times New Roman"/>
          <w:b/>
          <w:sz w:val="24"/>
          <w:szCs w:val="21"/>
        </w:rPr>
      </w:pPr>
      <w:r>
        <w:rPr>
          <w:rFonts w:hint="eastAsia" w:ascii="Times New Roman" w:hAnsi="Times New Roman" w:cs="Times New Roman"/>
          <w:b/>
          <w:sz w:val="24"/>
          <w:szCs w:val="21"/>
        </w:rPr>
        <w:t>（1）</w:t>
      </w:r>
      <w:r>
        <w:rPr>
          <w:rFonts w:ascii="Times New Roman" w:hAnsi="Times New Roman" w:cs="Times New Roman"/>
          <w:b/>
          <w:sz w:val="24"/>
          <w:szCs w:val="21"/>
        </w:rPr>
        <w:t>地质地貌</w:t>
      </w:r>
    </w:p>
    <w:p w14:paraId="711C3986">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鄂州市境内地形起伏相差不大，第四系覆盖面积较广，地层出露不全。鄂州地层受到淮阳山字型前弧西翼的构造影响，地层走向一般呈北西向。鄂州地势东南高、西北低、中间低平。全市最高点为汀祖境内的四峰山，海拔455.8米；最低处是梁子湖的梁子门，海拔11.7米。丘陵垄港是鄂州市的主要地貌单元之一，面积600多平方公里，占全市面积的42%，主要分布在燕矶、沙窝、新庙、太和、沼山等地；由于高度不大，又久经剥蚀，具有谷宽坡厚的特点。除此之外，以滨江、滨湖为主的平原也是全市的主要地貌单元之一，面积700多平方公里，约占全市总面积的45%，明显地分为两大区</w:t>
      </w:r>
      <w:r>
        <w:rPr>
          <w:rFonts w:hint="eastAsia" w:ascii="Times New Roman" w:hAnsi="Times New Roman" w:cs="Times New Roman"/>
          <w:sz w:val="24"/>
        </w:rPr>
        <w:t>：</w:t>
      </w:r>
      <w:r>
        <w:rPr>
          <w:rFonts w:ascii="Times New Roman" w:hAnsi="Times New Roman" w:cs="Times New Roman"/>
          <w:sz w:val="24"/>
        </w:rPr>
        <w:t>北部、东北部平原区和西部、南部平原区；全市平原具有地势低平、水源充足、土层深厚、土壤肥沃的特点。</w:t>
      </w:r>
    </w:p>
    <w:p w14:paraId="0BB4B5DE">
      <w:pPr>
        <w:pStyle w:val="17"/>
        <w:spacing w:line="500" w:lineRule="exact"/>
        <w:ind w:firstLine="492" w:firstLineChars="196"/>
        <w:rPr>
          <w:rFonts w:ascii="Times New Roman" w:hAnsi="Times New Roman" w:cs="Times New Roman"/>
          <w:b/>
          <w:sz w:val="24"/>
          <w:szCs w:val="21"/>
        </w:rPr>
      </w:pPr>
      <w:r>
        <w:rPr>
          <w:rFonts w:hint="eastAsia" w:ascii="Times New Roman" w:hAnsi="Times New Roman" w:cs="Times New Roman"/>
          <w:b/>
          <w:sz w:val="24"/>
          <w:szCs w:val="21"/>
        </w:rPr>
        <w:t>（2）</w:t>
      </w:r>
      <w:r>
        <w:rPr>
          <w:rFonts w:ascii="Times New Roman" w:hAnsi="Times New Roman" w:cs="Times New Roman"/>
          <w:b/>
          <w:sz w:val="24"/>
          <w:szCs w:val="21"/>
        </w:rPr>
        <w:t>气候</w:t>
      </w:r>
    </w:p>
    <w:p w14:paraId="0153EC38">
      <w:pPr>
        <w:pStyle w:val="12"/>
        <w:spacing w:line="500" w:lineRule="exact"/>
        <w:ind w:firstLine="482"/>
        <w:rPr>
          <w:rFonts w:ascii="Times New Roman" w:hAnsi="Times New Roman" w:cs="Times New Roman"/>
          <w:sz w:val="24"/>
        </w:rPr>
      </w:pPr>
      <w:r>
        <w:rPr>
          <w:rFonts w:ascii="Times New Roman" w:hAnsi="Times New Roman" w:cs="Times New Roman"/>
          <w:sz w:val="24"/>
        </w:rPr>
        <w:t>鄂州属于亚热带季风气候区，位于中纬度地区，季风气候明显，冬冷夏热，四季分明，雨量充沛，光照充足，无霜期长，年均气温17</w:t>
      </w:r>
      <w:r>
        <w:rPr>
          <w:rFonts w:hint="eastAsia" w:ascii="宋体" w:hAnsi="宋体" w:cs="宋体"/>
          <w:sz w:val="24"/>
        </w:rPr>
        <w:t>℃</w:t>
      </w:r>
      <w:r>
        <w:rPr>
          <w:rFonts w:ascii="Times New Roman" w:hAnsi="Times New Roman" w:cs="Times New Roman"/>
          <w:sz w:val="24"/>
        </w:rPr>
        <w:t>，年平均总活动积温6200</w:t>
      </w:r>
      <w:r>
        <w:rPr>
          <w:rFonts w:hint="eastAsia" w:ascii="宋体" w:hAnsi="宋体" w:cs="宋体"/>
          <w:sz w:val="24"/>
        </w:rPr>
        <w:t>℃</w:t>
      </w:r>
      <w:r>
        <w:rPr>
          <w:rFonts w:ascii="Times New Roman" w:hAnsi="Times New Roman" w:cs="Times New Roman"/>
          <w:sz w:val="24"/>
        </w:rPr>
        <w:t>，7月份平均气温为29.3</w:t>
      </w:r>
      <w:r>
        <w:rPr>
          <w:rFonts w:hint="eastAsia" w:ascii="宋体" w:hAnsi="宋体" w:cs="宋体"/>
          <w:sz w:val="24"/>
        </w:rPr>
        <w:t>℃</w:t>
      </w:r>
      <w:r>
        <w:rPr>
          <w:rFonts w:ascii="Times New Roman" w:hAnsi="Times New Roman" w:cs="Times New Roman"/>
          <w:sz w:val="24"/>
        </w:rPr>
        <w:t>，1月份平均气温4.2</w:t>
      </w:r>
      <w:r>
        <w:rPr>
          <w:rFonts w:hint="eastAsia" w:ascii="宋体" w:hAnsi="宋体" w:cs="宋体"/>
          <w:sz w:val="24"/>
        </w:rPr>
        <w:t>℃</w:t>
      </w:r>
      <w:r>
        <w:rPr>
          <w:rFonts w:ascii="Times New Roman" w:hAnsi="Times New Roman" w:cs="Times New Roman"/>
          <w:sz w:val="24"/>
        </w:rPr>
        <w:t>，极端最高气温40.7</w:t>
      </w:r>
      <w:r>
        <w:rPr>
          <w:rFonts w:hint="eastAsia" w:ascii="宋体" w:hAnsi="宋体" w:cs="宋体"/>
          <w:sz w:val="24"/>
        </w:rPr>
        <w:t>℃</w:t>
      </w:r>
      <w:r>
        <w:rPr>
          <w:rFonts w:ascii="Times New Roman" w:hAnsi="Times New Roman" w:cs="Times New Roman"/>
          <w:sz w:val="24"/>
        </w:rPr>
        <w:t>，极端最低气温一12.4</w:t>
      </w:r>
      <w:r>
        <w:rPr>
          <w:rFonts w:hint="eastAsia" w:ascii="宋体" w:hAnsi="宋体" w:cs="宋体"/>
          <w:sz w:val="24"/>
        </w:rPr>
        <w:t>℃</w:t>
      </w:r>
      <w:r>
        <w:rPr>
          <w:rFonts w:ascii="Times New Roman" w:hAnsi="Times New Roman" w:cs="Times New Roman"/>
          <w:sz w:val="24"/>
        </w:rPr>
        <w:t>，年平均无霜期为266天，年平均降雨量为1282.8毫米，年平均日照时数为2003.8小时，严冬酷暑时间短，主要灾害天气有暴雨、干旱、大风、冰雹和冰冻等。一年四季气候特点分别为：春季升温快、雨日多、天气变化剧烈；初夏暴雨多、湿度大、雨量集中；盛夏晴热少雨，高温高湿、日照强、蒸发大；秋季秋高气爽、晴多雨少；冬季寒冷少雨、气候干燥、以偏北风为主。</w:t>
      </w:r>
    </w:p>
    <w:p w14:paraId="2AFE46FC">
      <w:pPr>
        <w:pStyle w:val="17"/>
        <w:spacing w:line="500" w:lineRule="exact"/>
        <w:ind w:firstLine="492" w:firstLineChars="196"/>
        <w:rPr>
          <w:rFonts w:ascii="Times New Roman" w:hAnsi="Times New Roman" w:cs="Times New Roman"/>
          <w:b/>
          <w:sz w:val="24"/>
          <w:szCs w:val="21"/>
        </w:rPr>
      </w:pPr>
      <w:r>
        <w:rPr>
          <w:rFonts w:hint="eastAsia" w:ascii="Times New Roman" w:hAnsi="Times New Roman" w:cs="Times New Roman"/>
          <w:b/>
          <w:sz w:val="24"/>
          <w:szCs w:val="21"/>
        </w:rPr>
        <w:t>（3）</w:t>
      </w:r>
      <w:r>
        <w:rPr>
          <w:rFonts w:ascii="Times New Roman" w:hAnsi="Times New Roman" w:cs="Times New Roman"/>
          <w:b/>
          <w:sz w:val="24"/>
          <w:szCs w:val="21"/>
        </w:rPr>
        <w:t>水文</w:t>
      </w:r>
    </w:p>
    <w:p w14:paraId="3EBA1034">
      <w:pPr>
        <w:pStyle w:val="17"/>
        <w:spacing w:line="500" w:lineRule="exact"/>
        <w:ind w:firstLine="470" w:firstLineChars="196"/>
        <w:rPr>
          <w:rFonts w:ascii="Times New Roman" w:hAnsi="Times New Roman" w:cs="Times New Roman"/>
          <w:spacing w:val="0"/>
          <w:sz w:val="24"/>
        </w:rPr>
      </w:pPr>
      <w:r>
        <w:rPr>
          <w:rFonts w:ascii="Times New Roman" w:hAnsi="Times New Roman" w:cs="Times New Roman"/>
          <w:spacing w:val="0"/>
          <w:sz w:val="24"/>
        </w:rPr>
        <w:t>鄂州市现有湖泊面积31.46万亩，其中万亩以上大湖6个，千亩以上中型湖泊20个，百亩以上小型湖泊129个。鄂州市境内长江窄宽相间，单一性和弯曲型河段较窄，最小河宽870米，河宽最大达8000米。由于长江水量丰沛，汛期时间长，在多年平均情况下，每年5-10月为汛期，2-3月为枯水期，境内长江年平均水位17.20米，年平均流量为23800立方米/秒，年平均含沙量为0.586公斤/立方米，年平均输沙量为43000万吨。</w:t>
      </w:r>
    </w:p>
    <w:p w14:paraId="6BB1B6DE">
      <w:pPr>
        <w:pStyle w:val="17"/>
        <w:spacing w:line="500" w:lineRule="exact"/>
        <w:ind w:firstLine="492" w:firstLineChars="196"/>
        <w:rPr>
          <w:rFonts w:ascii="Times New Roman" w:hAnsi="Times New Roman" w:cs="Times New Roman"/>
          <w:b/>
          <w:sz w:val="24"/>
          <w:szCs w:val="21"/>
        </w:rPr>
      </w:pPr>
      <w:r>
        <w:rPr>
          <w:rFonts w:hint="eastAsia" w:ascii="Times New Roman" w:hAnsi="Times New Roman" w:cs="Times New Roman"/>
          <w:b/>
          <w:sz w:val="24"/>
          <w:szCs w:val="21"/>
        </w:rPr>
        <w:t>（4）</w:t>
      </w:r>
      <w:r>
        <w:rPr>
          <w:rFonts w:ascii="Times New Roman" w:hAnsi="Times New Roman" w:cs="Times New Roman"/>
          <w:b/>
          <w:sz w:val="24"/>
          <w:szCs w:val="21"/>
        </w:rPr>
        <w:t>矿产</w:t>
      </w:r>
    </w:p>
    <w:p w14:paraId="2DA8C4E9">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鄂州</w:t>
      </w:r>
      <w:r>
        <w:rPr>
          <w:rFonts w:hint="eastAsia" w:ascii="Times New Roman" w:hAnsi="Times New Roman" w:cs="Times New Roman"/>
          <w:sz w:val="24"/>
        </w:rPr>
        <w:t>矿产</w:t>
      </w:r>
      <w:r>
        <w:rPr>
          <w:rFonts w:ascii="Times New Roman" w:hAnsi="Times New Roman" w:cs="Times New Roman"/>
          <w:sz w:val="24"/>
        </w:rPr>
        <w:t>资源丰富，素有 “鄂东聚宝盆”的美称。境内铁矿石探明储居湖北省第二位，膨润土、珍珠岩等31种非金属矿探明储量居全省之首。从武汉顺江东下，武汉、鄂州、黄石这三座以冶金而闻名的城市</w:t>
      </w:r>
      <w:r>
        <w:rPr>
          <w:rFonts w:hint="eastAsia" w:ascii="Times New Roman" w:hAnsi="Times New Roman" w:cs="Times New Roman"/>
          <w:sz w:val="24"/>
        </w:rPr>
        <w:t>，</w:t>
      </w:r>
      <w:r>
        <w:rPr>
          <w:rFonts w:ascii="Times New Roman" w:hAnsi="Times New Roman" w:cs="Times New Roman"/>
          <w:sz w:val="24"/>
        </w:rPr>
        <w:t>撑起了湖北省冶金走廊的脊梁。在这条脊梁中，武汉的武钢与鄂州的鄂钢两座钢城上下相连。追溯鄂州的冶金历史，早在青铜文化时期，鄂州就是中国四大铜镜铸造中心之一。“冶石为器，千炉齐”，“吴王孙权采武昌铜铁，作千口剑，万口刀”，铸就了闻名中外的“古铜镜之乡”。</w:t>
      </w:r>
    </w:p>
    <w:p w14:paraId="3E424D4F">
      <w:pPr>
        <w:pStyle w:val="17"/>
        <w:spacing w:line="500" w:lineRule="exact"/>
        <w:ind w:firstLine="492" w:firstLineChars="196"/>
        <w:rPr>
          <w:rFonts w:ascii="Times New Roman" w:hAnsi="Times New Roman" w:cs="Times New Roman"/>
          <w:b/>
          <w:sz w:val="24"/>
          <w:szCs w:val="21"/>
        </w:rPr>
      </w:pPr>
      <w:r>
        <w:rPr>
          <w:rFonts w:hint="eastAsia" w:ascii="Times New Roman" w:hAnsi="Times New Roman" w:cs="Times New Roman"/>
          <w:b/>
          <w:sz w:val="24"/>
          <w:szCs w:val="21"/>
        </w:rPr>
        <w:t>（5）</w:t>
      </w:r>
      <w:r>
        <w:rPr>
          <w:rFonts w:ascii="Times New Roman" w:hAnsi="Times New Roman" w:cs="Times New Roman"/>
          <w:b/>
          <w:sz w:val="24"/>
          <w:szCs w:val="21"/>
        </w:rPr>
        <w:t>旅游资源</w:t>
      </w:r>
    </w:p>
    <w:p w14:paraId="17BBEC9E">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鄂州襟江抱湖枕名山，山、水、城浑然一体，构成了鄂州独特的城市景观。位于市中心的西山，青翠灵秀，是省级风景名胜区；莲花山蜚声海内外，是闻名遐迩的旅游度假区；洋澜湖连江衔山，秀色可餐，展现吴王古都文化底蕴和江南水乡园林风格的凤凰山广场就坐落在于鄂州。鄂州南缘的沼山，山野谷幽，为省级森林公园；梁子湖碧波万顷，景色醉人。随着旅游业的发展，一个以“三国”为特色的历史文化景观，以孙权、葛洪、元杰、李阳冰、苏轼、黄庭坚为代表的人文景观，以西山、梁子湖、洋澜湖、红莲湖、天平山、沼山、莲花山为主体的自然景观正在开发利用中，使地处“长江旅游线”和“三国旅游线”交叉的这座江南古城充满了迷人魅力。</w:t>
      </w:r>
    </w:p>
    <w:p w14:paraId="7D1AE3ED">
      <w:pPr>
        <w:pStyle w:val="4"/>
        <w:widowControl w:val="0"/>
        <w:tabs>
          <w:tab w:val="left" w:pos="720"/>
        </w:tabs>
        <w:spacing w:before="120" w:after="120" w:line="500" w:lineRule="exact"/>
        <w:ind w:left="826" w:hanging="826"/>
        <w:jc w:val="both"/>
        <w:rPr>
          <w:rFonts w:ascii="宋体" w:hAnsi="宋体"/>
          <w:sz w:val="24"/>
          <w:szCs w:val="24"/>
        </w:rPr>
      </w:pPr>
      <w:bookmarkStart w:id="23" w:name="_Toc203224920"/>
      <w:bookmarkStart w:id="24" w:name="_Toc332554458"/>
      <w:bookmarkStart w:id="25" w:name="_Toc47384581"/>
      <w:bookmarkStart w:id="26" w:name="_Toc528263590"/>
      <w:bookmarkStart w:id="27" w:name="_Toc535399890"/>
      <w:bookmarkStart w:id="28" w:name="_Toc534833309"/>
      <w:r>
        <w:rPr>
          <w:rFonts w:hint="eastAsia" w:ascii="宋体" w:hAnsi="宋体"/>
          <w:sz w:val="24"/>
          <w:szCs w:val="24"/>
        </w:rPr>
        <w:t>1</w:t>
      </w:r>
      <w:r>
        <w:rPr>
          <w:rFonts w:ascii="宋体" w:hAnsi="宋体"/>
          <w:sz w:val="24"/>
          <w:szCs w:val="24"/>
        </w:rPr>
        <w:t>.1.3 社会经济</w:t>
      </w:r>
      <w:bookmarkEnd w:id="23"/>
      <w:bookmarkEnd w:id="24"/>
      <w:r>
        <w:rPr>
          <w:rFonts w:ascii="宋体" w:hAnsi="宋体"/>
          <w:sz w:val="24"/>
          <w:szCs w:val="24"/>
        </w:rPr>
        <w:t>状况</w:t>
      </w:r>
      <w:bookmarkEnd w:id="25"/>
      <w:bookmarkEnd w:id="26"/>
      <w:bookmarkEnd w:id="27"/>
      <w:bookmarkEnd w:id="28"/>
    </w:p>
    <w:p w14:paraId="5044CA17">
      <w:pPr>
        <w:spacing w:line="500" w:lineRule="exact"/>
        <w:ind w:firstLine="480" w:firstLineChars="200"/>
        <w:rPr>
          <w:sz w:val="24"/>
          <w:lang w:val="zh-CN"/>
        </w:rPr>
      </w:pPr>
      <w:r>
        <w:rPr>
          <w:rFonts w:hint="eastAsia"/>
          <w:sz w:val="24"/>
          <w:lang w:val="zh-CN"/>
        </w:rPr>
        <w:t>（1）</w:t>
      </w:r>
      <w:r>
        <w:rPr>
          <w:sz w:val="24"/>
          <w:lang w:val="zh-CN"/>
        </w:rPr>
        <w:t>人口状况</w:t>
      </w:r>
    </w:p>
    <w:p w14:paraId="768E80A7">
      <w:pPr>
        <w:pStyle w:val="12"/>
        <w:spacing w:line="500" w:lineRule="exact"/>
        <w:ind w:firstLine="480" w:firstLineChars="200"/>
        <w:rPr>
          <w:rFonts w:ascii="Times New Roman" w:hAnsi="Times New Roman" w:cs="Times New Roman"/>
          <w:sz w:val="24"/>
        </w:rPr>
      </w:pPr>
      <w:bookmarkStart w:id="29" w:name="_Toc332554459"/>
      <w:bookmarkStart w:id="30" w:name="qh"/>
      <w:r>
        <w:rPr>
          <w:rFonts w:ascii="Times New Roman" w:hAnsi="Times New Roman" w:cs="Times New Roman"/>
          <w:sz w:val="24"/>
        </w:rPr>
        <w:t>鄂州市</w:t>
      </w:r>
      <w:r>
        <w:rPr>
          <w:rFonts w:hint="eastAsia" w:ascii="Times New Roman" w:hAnsi="Times New Roman" w:cs="Times New Roman"/>
          <w:sz w:val="24"/>
        </w:rPr>
        <w:t>现辖</w:t>
      </w:r>
      <w:r>
        <w:rPr>
          <w:rFonts w:ascii="Times New Roman" w:hAnsi="Times New Roman" w:cs="Times New Roman"/>
          <w:sz w:val="24"/>
        </w:rPr>
        <w:t>鄂城、华容、梁子湖三个县级行政区，葛店、鄂州两个开发区以及凤凰、古楼、西山三个直辖街道办事处。全市分布有汉族、蒙古族、回族等20多个民族。截至2017年末，全市总人口（即户籍人口）为110.77万人，常住人口107.69万人，其中，城镇70.44万人，乡村37.25万人</w:t>
      </w:r>
      <w:r>
        <w:rPr>
          <w:rFonts w:hint="eastAsia" w:ascii="Times New Roman" w:hAnsi="Times New Roman" w:cs="Times New Roman"/>
          <w:sz w:val="24"/>
        </w:rPr>
        <w:t>，</w:t>
      </w:r>
      <w:r>
        <w:rPr>
          <w:rFonts w:ascii="Times New Roman" w:hAnsi="Times New Roman" w:cs="Times New Roman"/>
          <w:sz w:val="24"/>
        </w:rPr>
        <w:t>城镇化率达65.41%。</w:t>
      </w:r>
    </w:p>
    <w:p w14:paraId="74C53865">
      <w:pPr>
        <w:spacing w:line="500" w:lineRule="exact"/>
        <w:ind w:firstLine="480" w:firstLineChars="200"/>
        <w:rPr>
          <w:sz w:val="24"/>
          <w:lang w:val="zh-CN"/>
        </w:rPr>
      </w:pPr>
      <w:r>
        <w:rPr>
          <w:rFonts w:hint="eastAsia"/>
          <w:sz w:val="24"/>
          <w:lang w:val="zh-CN"/>
        </w:rPr>
        <w:t>（2）</w:t>
      </w:r>
      <w:r>
        <w:rPr>
          <w:sz w:val="24"/>
          <w:lang w:val="zh-CN"/>
        </w:rPr>
        <w:t>社会经济发展</w:t>
      </w:r>
    </w:p>
    <w:p w14:paraId="3FDC2F99">
      <w:pPr>
        <w:pStyle w:val="12"/>
        <w:spacing w:line="500" w:lineRule="exact"/>
        <w:ind w:firstLine="482"/>
        <w:rPr>
          <w:rFonts w:ascii="Times New Roman" w:hAnsi="Times New Roman" w:cs="Times New Roman"/>
          <w:sz w:val="24"/>
        </w:rPr>
      </w:pPr>
      <w:r>
        <w:rPr>
          <w:rFonts w:ascii="Times New Roman" w:hAnsi="Times New Roman" w:cs="Times New Roman"/>
          <w:sz w:val="24"/>
        </w:rPr>
        <w:t>2017年，鄂州全市地区生产总值达905.92亿元，比上年增长8.6%。其中第一产业完成增加值102.05亿元，增长3.9%；第二产业完成增加值477.43亿元，增长8.1%；第三产业完成增加值326.44亿元，增长11.3%。人均生产总值达到84452元，比上年净增9469元，增长12.6%。三次产业结构由2016年的12.2:54.5:33.3调整为11.3:52.7:36.0。</w:t>
      </w:r>
    </w:p>
    <w:bookmarkEnd w:id="29"/>
    <w:bookmarkEnd w:id="30"/>
    <w:p w14:paraId="3A412F33">
      <w:pPr>
        <w:spacing w:line="500" w:lineRule="exact"/>
        <w:ind w:firstLine="480" w:firstLineChars="200"/>
        <w:rPr>
          <w:sz w:val="24"/>
          <w:lang w:val="zh-CN"/>
        </w:rPr>
      </w:pPr>
      <w:r>
        <w:rPr>
          <w:rFonts w:hint="eastAsia"/>
          <w:sz w:val="24"/>
          <w:lang w:val="zh-CN"/>
        </w:rPr>
        <w:t>（3）</w:t>
      </w:r>
      <w:r>
        <w:rPr>
          <w:sz w:val="24"/>
          <w:lang w:val="zh-CN"/>
        </w:rPr>
        <w:t>工业经济状况</w:t>
      </w:r>
    </w:p>
    <w:p w14:paraId="2629DAF0">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鄂州市工业生产保持平稳增长。2017年末，全市全部工业增加值425.38亿元，增长7.9%。全市规模以上工业企业达到539家，比上年增加22家。高技术制造业增加值同比增长15.6%，快于规模以上工业7.3个百分点，占规模以上工业比重为13.1%，对规模以上工业增长的贡献率达23.7%。</w:t>
      </w:r>
    </w:p>
    <w:p w14:paraId="30BF0A66">
      <w:pPr>
        <w:spacing w:line="500" w:lineRule="exact"/>
        <w:ind w:firstLine="480" w:firstLineChars="200"/>
        <w:rPr>
          <w:sz w:val="24"/>
          <w:lang w:val="zh-CN"/>
        </w:rPr>
      </w:pPr>
      <w:r>
        <w:rPr>
          <w:rFonts w:hint="eastAsia"/>
          <w:sz w:val="24"/>
          <w:lang w:val="zh-CN"/>
        </w:rPr>
        <w:t>（4）</w:t>
      </w:r>
      <w:r>
        <w:rPr>
          <w:sz w:val="24"/>
          <w:lang w:val="zh-CN"/>
        </w:rPr>
        <w:t>人民生活</w:t>
      </w:r>
    </w:p>
    <w:p w14:paraId="31A87C5E">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鄂州市居民收入稳定增长。2017年全市城镇常住居民人均可支配收入29399元，增长8.94%；农村常住居民人均可支配收入16168元，增长9.15%。全市社会保障进一步增强。年末全市参加城镇职工基本养老保险29.28万人，参加城乡居民基本养老保险41.25万人，参加城乡居民和城镇职工基本医疗保险94.99万人，参加工伤保险10.89万人，参加生育保险4.92万人，参加失业保险人数8.63万人。全市就业形势保持平稳</w:t>
      </w:r>
      <w:r>
        <w:rPr>
          <w:rFonts w:hint="eastAsia" w:ascii="Times New Roman" w:hAnsi="Times New Roman" w:cs="Times New Roman"/>
          <w:sz w:val="24"/>
        </w:rPr>
        <w:t>，</w:t>
      </w:r>
      <w:r>
        <w:rPr>
          <w:rFonts w:ascii="Times New Roman" w:hAnsi="Times New Roman" w:cs="Times New Roman"/>
          <w:sz w:val="24"/>
        </w:rPr>
        <w:t>年末全市城镇登记失业率2.03%，低于全省目标控制数。</w:t>
      </w:r>
    </w:p>
    <w:bookmarkEnd w:id="7"/>
    <w:bookmarkEnd w:id="8"/>
    <w:bookmarkEnd w:id="9"/>
    <w:p w14:paraId="27494C8F">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31" w:name="_Toc47384582"/>
      <w:r>
        <w:rPr>
          <w:rFonts w:ascii="宋体" w:hAnsi="宋体"/>
          <w:bCs/>
          <w:kern w:val="2"/>
          <w:szCs w:val="28"/>
        </w:rPr>
        <w:t>1.2 评估工作概况</w:t>
      </w:r>
      <w:bookmarkEnd w:id="31"/>
    </w:p>
    <w:p w14:paraId="421F8094">
      <w:pPr>
        <w:pStyle w:val="4"/>
        <w:widowControl w:val="0"/>
        <w:tabs>
          <w:tab w:val="left" w:pos="720"/>
        </w:tabs>
        <w:spacing w:before="120" w:after="120" w:line="500" w:lineRule="exact"/>
        <w:ind w:left="826" w:hanging="826"/>
        <w:jc w:val="both"/>
        <w:rPr>
          <w:rFonts w:ascii="宋体" w:hAnsi="宋体"/>
          <w:sz w:val="24"/>
          <w:szCs w:val="24"/>
        </w:rPr>
      </w:pPr>
      <w:bookmarkStart w:id="32" w:name="_Toc534833311"/>
      <w:bookmarkStart w:id="33" w:name="_Toc47384583"/>
      <w:bookmarkStart w:id="34" w:name="_Toc535399892"/>
      <w:r>
        <w:rPr>
          <w:rFonts w:hint="eastAsia" w:ascii="宋体" w:hAnsi="宋体"/>
          <w:sz w:val="24"/>
          <w:szCs w:val="24"/>
        </w:rPr>
        <w:t>1</w:t>
      </w:r>
      <w:r>
        <w:rPr>
          <w:rFonts w:ascii="宋体" w:hAnsi="宋体"/>
          <w:sz w:val="24"/>
          <w:szCs w:val="24"/>
        </w:rPr>
        <w:t>.2.1 评估背景分析</w:t>
      </w:r>
      <w:bookmarkEnd w:id="32"/>
      <w:bookmarkEnd w:id="33"/>
      <w:bookmarkEnd w:id="34"/>
    </w:p>
    <w:p w14:paraId="06B8D4A1">
      <w:pPr>
        <w:spacing w:line="500" w:lineRule="exact"/>
        <w:ind w:firstLine="480" w:firstLineChars="200"/>
        <w:rPr>
          <w:sz w:val="24"/>
          <w:lang w:val="zh-CN"/>
        </w:rPr>
      </w:pPr>
      <w:r>
        <w:rPr>
          <w:sz w:val="24"/>
          <w:lang w:val="zh-CN"/>
        </w:rPr>
        <w:t>（1）国有农用地所有权和使用权</w:t>
      </w:r>
    </w:p>
    <w:p w14:paraId="2FC842DC">
      <w:pPr>
        <w:spacing w:line="500" w:lineRule="exact"/>
        <w:ind w:firstLine="480" w:firstLineChars="200"/>
        <w:rPr>
          <w:sz w:val="24"/>
          <w:lang w:val="zh-CN"/>
        </w:rPr>
      </w:pPr>
      <w:r>
        <w:rPr>
          <w:sz w:val="24"/>
          <w:lang w:val="zh-CN"/>
        </w:rPr>
        <w:t>我国国有农用地主要分布在国营农场。国营农场，是指由国家投资兴办的、主要生产资料和产品归国家所有的农业经济组织。根据历史发展和目前的使用方式，我国国有农用地主要是计划经济体制时期由国家划拨给农垦企业、国有林场、生产建设兵团等国有单位开垦利用土地而延续形成的。因此，我国的国有农用地的原始取得方式主要是国家通过划拨方式给国营农场（包括归农垦部门管理的国有农场，归侨务部门管理的华侨农场，归军队管理的部队生产农场，归农业部门管理的良种场、园艺场、种畜场等）长期使用。</w:t>
      </w:r>
      <w:r>
        <w:rPr>
          <w:rFonts w:hint="eastAsia"/>
          <w:sz w:val="24"/>
          <w:lang w:val="zh-CN"/>
        </w:rPr>
        <w:t>耕地</w:t>
      </w:r>
      <w:r>
        <w:rPr>
          <w:sz w:val="24"/>
          <w:lang w:val="zh-CN"/>
        </w:rPr>
        <w:t>作为农垦土地的主要组成部分，是国有农场进行农业生产经营的主要载体，也是农垦企业资产的重要组成部分。然而，农垦土地资源的资产、资本价值一直未能充分实现。</w:t>
      </w:r>
    </w:p>
    <w:p w14:paraId="647C1908">
      <w:pPr>
        <w:spacing w:line="500" w:lineRule="exact"/>
        <w:ind w:firstLine="480" w:firstLineChars="200"/>
        <w:rPr>
          <w:sz w:val="24"/>
          <w:lang w:val="zh-CN"/>
        </w:rPr>
      </w:pPr>
      <w:r>
        <w:rPr>
          <w:sz w:val="24"/>
          <w:lang w:val="zh-CN"/>
        </w:rPr>
        <w:t>2015年，《中共中央国务院关于进一步推进农垦改革发展的意见》（中发〔2015〕33 号）指出，对农垦企业改革改制中涉及的国有划拨建设用地和农用地，可按需要采取国有土地使用权出让、租赁、作价出资（入股）和保留划拨用地等方式处置，以实现国有</w:t>
      </w:r>
      <w:r>
        <w:rPr>
          <w:rFonts w:hint="eastAsia"/>
          <w:sz w:val="24"/>
          <w:lang w:val="zh-CN"/>
        </w:rPr>
        <w:t>农用地</w:t>
      </w:r>
      <w:r>
        <w:rPr>
          <w:sz w:val="24"/>
          <w:lang w:val="zh-CN"/>
        </w:rPr>
        <w:t>资产价值显化。</w:t>
      </w:r>
      <w:r>
        <w:rPr>
          <w:sz w:val="24"/>
        </w:rPr>
        <w:t>为加强农用地价格评估与管理，完善国有</w:t>
      </w:r>
      <w:r>
        <w:rPr>
          <w:rFonts w:hint="eastAsia"/>
          <w:sz w:val="24"/>
        </w:rPr>
        <w:t>农用地</w:t>
      </w:r>
      <w:r>
        <w:rPr>
          <w:sz w:val="24"/>
        </w:rPr>
        <w:t>土地等级价体系，显化维护国有</w:t>
      </w:r>
      <w:r>
        <w:rPr>
          <w:rFonts w:hint="eastAsia"/>
          <w:sz w:val="24"/>
        </w:rPr>
        <w:t>农用地</w:t>
      </w:r>
      <w:r>
        <w:rPr>
          <w:sz w:val="24"/>
        </w:rPr>
        <w:t>资产，2016年底，国土资源部、国家发展和改革委员会、财政部、住房和城乡建设部、农业部、中国人民银行、国家林业局一级中国银行监督管理委员会联合颁布了《关于扩大国有土地有偿使用范围的意见》（国土资规〔2016〕20 号）。文件提出要“规范推进国有农用地使用制度改革，完善国有</w:t>
      </w:r>
      <w:r>
        <w:rPr>
          <w:rFonts w:hint="eastAsia"/>
          <w:sz w:val="24"/>
        </w:rPr>
        <w:t>农用地</w:t>
      </w:r>
      <w:r>
        <w:rPr>
          <w:sz w:val="24"/>
        </w:rPr>
        <w:t>土地等级价体系，完善农用地定级和估价规程，部署开展农用地定级试点，稳步推进农用地基准地价制定和发布工作，及时反映农用地价格变化”。2017年，《</w:t>
      </w:r>
      <w:r>
        <w:rPr>
          <w:sz w:val="24"/>
          <w:lang w:val="zh-CN"/>
        </w:rPr>
        <w:t>国土资源部办公厅关于加强公示地价体系建设和管理有关问题的通知》（国土厅发〔2017〕27号）指出，为进一步支撑农垦改革发展，避免国有</w:t>
      </w:r>
      <w:r>
        <w:rPr>
          <w:rFonts w:hint="eastAsia"/>
          <w:sz w:val="24"/>
          <w:lang w:val="zh-CN"/>
        </w:rPr>
        <w:t>农用地</w:t>
      </w:r>
      <w:r>
        <w:rPr>
          <w:sz w:val="24"/>
          <w:lang w:val="zh-CN"/>
        </w:rPr>
        <w:t>资产流失，有国有</w:t>
      </w:r>
      <w:r>
        <w:rPr>
          <w:rFonts w:hint="eastAsia"/>
          <w:sz w:val="24"/>
          <w:lang w:val="zh-CN"/>
        </w:rPr>
        <w:t>农用地</w:t>
      </w:r>
      <w:r>
        <w:rPr>
          <w:sz w:val="24"/>
          <w:lang w:val="zh-CN"/>
        </w:rPr>
        <w:t>的区域需要制订并发布国有</w:t>
      </w:r>
      <w:r>
        <w:rPr>
          <w:rFonts w:hint="eastAsia"/>
          <w:sz w:val="24"/>
          <w:lang w:val="zh-CN"/>
        </w:rPr>
        <w:t>农用地</w:t>
      </w:r>
      <w:r>
        <w:rPr>
          <w:sz w:val="24"/>
          <w:lang w:val="zh-CN"/>
        </w:rPr>
        <w:t>基准地价，完善公示地价体系建设，为贯彻该文件以及《省国土资源厅办公室关于引发公示地价体系建设工作方案的通知》（鄂土资办函〔2018〕84）文件精神，鄂州市结合实际开展国有农用地基准地价评估工作。</w:t>
      </w:r>
    </w:p>
    <w:p w14:paraId="02B7B35F">
      <w:pPr>
        <w:pStyle w:val="4"/>
        <w:widowControl w:val="0"/>
        <w:tabs>
          <w:tab w:val="left" w:pos="720"/>
        </w:tabs>
        <w:spacing w:before="120" w:after="120" w:line="500" w:lineRule="exact"/>
        <w:ind w:left="826" w:hanging="826"/>
        <w:jc w:val="both"/>
        <w:rPr>
          <w:rFonts w:ascii="宋体" w:hAnsi="宋体"/>
          <w:sz w:val="24"/>
          <w:szCs w:val="24"/>
        </w:rPr>
      </w:pPr>
      <w:bookmarkStart w:id="35" w:name="_Toc47384584"/>
      <w:bookmarkStart w:id="36" w:name="_Toc535399893"/>
      <w:bookmarkStart w:id="37" w:name="_Toc534833314"/>
      <w:bookmarkStart w:id="38" w:name="_Toc528263595"/>
      <w:r>
        <w:rPr>
          <w:rFonts w:hint="eastAsia" w:ascii="宋体" w:hAnsi="宋体"/>
          <w:sz w:val="24"/>
          <w:szCs w:val="24"/>
        </w:rPr>
        <w:t>1</w:t>
      </w:r>
      <w:r>
        <w:rPr>
          <w:rFonts w:ascii="宋体" w:hAnsi="宋体"/>
          <w:sz w:val="24"/>
          <w:szCs w:val="24"/>
        </w:rPr>
        <w:t>.2.2 工作目的和任务</w:t>
      </w:r>
      <w:bookmarkEnd w:id="35"/>
      <w:bookmarkEnd w:id="36"/>
      <w:bookmarkEnd w:id="37"/>
    </w:p>
    <w:p w14:paraId="45351C9F">
      <w:pPr>
        <w:spacing w:line="500" w:lineRule="exact"/>
        <w:ind w:firstLine="480" w:firstLineChars="200"/>
        <w:rPr>
          <w:sz w:val="24"/>
          <w:lang w:val="zh-CN"/>
        </w:rPr>
      </w:pPr>
      <w:r>
        <w:rPr>
          <w:sz w:val="24"/>
          <w:lang w:val="zh-CN"/>
        </w:rPr>
        <w:t>鄂州市国有农用地基准地价评估工作有助于显化国有农用地资产，完善国有农用地等级价体系，为今后全市国有农用地出让、租赁、作价出资或者入股、授权经营等有偿使用状况下的使用权价格评估奠定基础，为国有农用地转让、出租、抵押等提供参考。</w:t>
      </w:r>
    </w:p>
    <w:p w14:paraId="05B35F33">
      <w:pPr>
        <w:pStyle w:val="12"/>
        <w:spacing w:line="500" w:lineRule="exact"/>
        <w:ind w:firstLine="500" w:firstLineChars="200"/>
        <w:rPr>
          <w:rFonts w:ascii="Times New Roman" w:hAnsi="Times New Roman" w:cs="Times New Roman"/>
          <w:spacing w:val="5"/>
          <w:kern w:val="0"/>
          <w:sz w:val="24"/>
          <w:szCs w:val="24"/>
        </w:rPr>
      </w:pPr>
      <w:r>
        <w:rPr>
          <w:rFonts w:ascii="Times New Roman" w:hAnsi="Times New Roman" w:cs="Times New Roman"/>
          <w:spacing w:val="5"/>
          <w:kern w:val="0"/>
          <w:sz w:val="24"/>
          <w:szCs w:val="24"/>
        </w:rPr>
        <w:t>本次鄂州市国有农用地定级与基准地价评估工作的主要内容有：</w:t>
      </w:r>
    </w:p>
    <w:p w14:paraId="32854AEB">
      <w:pPr>
        <w:pStyle w:val="12"/>
        <w:spacing w:line="500" w:lineRule="exact"/>
        <w:ind w:firstLine="480" w:firstLineChars="200"/>
        <w:rPr>
          <w:rFonts w:ascii="Times New Roman" w:hAnsi="Times New Roman" w:cs="Times New Roman"/>
          <w:sz w:val="24"/>
          <w:szCs w:val="24"/>
          <w:lang w:val="zh-CN"/>
        </w:rPr>
      </w:pPr>
      <w:r>
        <w:rPr>
          <w:rFonts w:ascii="Times New Roman" w:hAnsi="Times New Roman" w:cs="Times New Roman"/>
          <w:sz w:val="24"/>
          <w:szCs w:val="24"/>
          <w:lang w:val="zh-CN"/>
        </w:rPr>
        <w:t>（1）国有农用地定级</w:t>
      </w:r>
    </w:p>
    <w:p w14:paraId="083567F5">
      <w:pPr>
        <w:pStyle w:val="12"/>
        <w:spacing w:line="500" w:lineRule="exact"/>
        <w:ind w:firstLine="480" w:firstLineChars="200"/>
        <w:rPr>
          <w:rFonts w:ascii="Times New Roman" w:hAnsi="Times New Roman" w:cs="Times New Roman"/>
          <w:sz w:val="24"/>
          <w:szCs w:val="24"/>
          <w:lang w:val="zh-CN"/>
        </w:rPr>
      </w:pPr>
      <w:r>
        <w:rPr>
          <w:rFonts w:ascii="Times New Roman" w:hAnsi="Times New Roman" w:cs="Times New Roman"/>
          <w:sz w:val="24"/>
          <w:szCs w:val="24"/>
          <w:lang w:val="zh-CN"/>
        </w:rPr>
        <w:t>按照《农用地定级规程》（GB/T 28405-2012）的要求，采用地理信息系统技术，确定国有农用地定级技术路线和方法，在此基础上完成对鄂州市国有农用地级别的划分。</w:t>
      </w:r>
    </w:p>
    <w:p w14:paraId="3417470E">
      <w:pPr>
        <w:pStyle w:val="12"/>
        <w:spacing w:line="500" w:lineRule="exact"/>
        <w:ind w:firstLine="480" w:firstLineChars="200"/>
        <w:rPr>
          <w:rFonts w:ascii="Times New Roman" w:hAnsi="Times New Roman" w:cs="Times New Roman"/>
          <w:sz w:val="24"/>
          <w:szCs w:val="24"/>
          <w:lang w:val="zh-CN"/>
        </w:rPr>
      </w:pPr>
      <w:r>
        <w:rPr>
          <w:rFonts w:ascii="Times New Roman" w:hAnsi="Times New Roman" w:cs="Times New Roman"/>
          <w:sz w:val="24"/>
          <w:szCs w:val="24"/>
          <w:lang w:val="zh-CN"/>
        </w:rPr>
        <w:t>（2）</w:t>
      </w:r>
      <w:r>
        <w:rPr>
          <w:rFonts w:hint="eastAsia" w:ascii="Times New Roman" w:hAnsi="Times New Roman" w:cs="Times New Roman"/>
          <w:sz w:val="24"/>
          <w:szCs w:val="24"/>
          <w:lang w:val="zh-CN"/>
        </w:rPr>
        <w:t>国有农用地</w:t>
      </w:r>
      <w:r>
        <w:rPr>
          <w:rFonts w:ascii="Times New Roman" w:hAnsi="Times New Roman" w:cs="Times New Roman"/>
          <w:sz w:val="24"/>
          <w:szCs w:val="24"/>
          <w:lang w:val="zh-CN"/>
        </w:rPr>
        <w:t>基准地价评估</w:t>
      </w:r>
    </w:p>
    <w:p w14:paraId="66EAB09D">
      <w:pPr>
        <w:pStyle w:val="12"/>
        <w:spacing w:line="500" w:lineRule="exact"/>
        <w:ind w:firstLine="480" w:firstLineChars="200"/>
        <w:rPr>
          <w:rFonts w:ascii="Times New Roman" w:hAnsi="Times New Roman" w:cs="Times New Roman"/>
          <w:sz w:val="24"/>
          <w:szCs w:val="24"/>
          <w:lang w:val="zh-CN"/>
        </w:rPr>
      </w:pPr>
      <w:r>
        <w:rPr>
          <w:rFonts w:ascii="Times New Roman" w:hAnsi="Times New Roman" w:cs="Times New Roman"/>
          <w:sz w:val="24"/>
          <w:szCs w:val="24"/>
          <w:lang w:val="zh-CN"/>
        </w:rPr>
        <w:t>按照《农用地估价规程》（GB/T 28406-2012）的要求，采用计算机辅助技术，在土地定级的基础上完成基准地价评估工作。</w:t>
      </w:r>
    </w:p>
    <w:p w14:paraId="533ED422">
      <w:pPr>
        <w:pStyle w:val="12"/>
        <w:spacing w:line="500" w:lineRule="exact"/>
        <w:ind w:firstLine="480" w:firstLineChars="200"/>
        <w:rPr>
          <w:rFonts w:ascii="Times New Roman" w:hAnsi="Times New Roman" w:cs="Times New Roman"/>
          <w:sz w:val="24"/>
          <w:szCs w:val="24"/>
          <w:lang w:val="zh-CN"/>
        </w:rPr>
      </w:pPr>
      <w:r>
        <w:rPr>
          <w:rFonts w:ascii="Times New Roman" w:hAnsi="Times New Roman" w:cs="Times New Roman"/>
          <w:sz w:val="24"/>
          <w:szCs w:val="24"/>
          <w:lang w:val="zh-CN"/>
        </w:rPr>
        <w:t>（3）编制基准地价修正体系</w:t>
      </w:r>
    </w:p>
    <w:p w14:paraId="4E35B112">
      <w:pPr>
        <w:pStyle w:val="12"/>
        <w:spacing w:line="500" w:lineRule="exact"/>
        <w:ind w:firstLine="480" w:firstLineChars="200"/>
        <w:rPr>
          <w:rFonts w:ascii="Times New Roman" w:hAnsi="Times New Roman" w:cs="Times New Roman"/>
          <w:sz w:val="24"/>
          <w:szCs w:val="24"/>
          <w:lang w:val="zh-CN"/>
        </w:rPr>
      </w:pPr>
      <w:r>
        <w:rPr>
          <w:rFonts w:ascii="Times New Roman" w:hAnsi="Times New Roman" w:cs="Times New Roman"/>
          <w:sz w:val="24"/>
          <w:szCs w:val="24"/>
          <w:lang w:val="zh-CN"/>
        </w:rPr>
        <w:t>在定级估价的基础上，按照《农用地估价规程》（GB/T 28406-2012）对基准地价修正系数表、</w:t>
      </w:r>
      <w:r>
        <w:rPr>
          <w:rFonts w:hint="eastAsia" w:ascii="Times New Roman" w:hAnsi="Times New Roman" w:cs="Times New Roman"/>
          <w:sz w:val="24"/>
          <w:szCs w:val="24"/>
          <w:lang w:val="zh-CN"/>
        </w:rPr>
        <w:t>耕地</w:t>
      </w:r>
      <w:r>
        <w:rPr>
          <w:rFonts w:ascii="Times New Roman" w:hAnsi="Times New Roman" w:cs="Times New Roman"/>
          <w:sz w:val="24"/>
          <w:szCs w:val="24"/>
          <w:lang w:val="zh-CN"/>
        </w:rPr>
        <w:t>价格影响因素表编制的规定，选择对国有农用地价格影响较大的自然因素、社会经济因素和特殊因素等，结合国有农用地定级指数模型，编制国有农用地基准地价修正系数表。</w:t>
      </w:r>
    </w:p>
    <w:p w14:paraId="223E0EBF">
      <w:pPr>
        <w:pStyle w:val="12"/>
        <w:spacing w:line="500" w:lineRule="exact"/>
        <w:ind w:firstLine="500" w:firstLineChars="200"/>
        <w:rPr>
          <w:rFonts w:ascii="Times New Roman" w:hAnsi="Times New Roman" w:cs="Times New Roman"/>
          <w:spacing w:val="5"/>
          <w:kern w:val="0"/>
          <w:sz w:val="24"/>
          <w:szCs w:val="24"/>
        </w:rPr>
      </w:pPr>
      <w:r>
        <w:rPr>
          <w:rFonts w:ascii="Times New Roman" w:hAnsi="Times New Roman" w:cs="Times New Roman"/>
          <w:spacing w:val="5"/>
          <w:kern w:val="0"/>
          <w:sz w:val="24"/>
          <w:szCs w:val="24"/>
        </w:rPr>
        <w:t>（4）绘制国有农用土地定级图、基准地价图；</w:t>
      </w:r>
    </w:p>
    <w:p w14:paraId="636F1309">
      <w:pPr>
        <w:pStyle w:val="12"/>
        <w:spacing w:line="500" w:lineRule="exact"/>
        <w:ind w:firstLine="500" w:firstLineChars="200"/>
        <w:rPr>
          <w:rFonts w:ascii="Times New Roman" w:hAnsi="Times New Roman" w:cs="Times New Roman"/>
          <w:spacing w:val="5"/>
          <w:kern w:val="0"/>
          <w:sz w:val="24"/>
          <w:szCs w:val="24"/>
        </w:rPr>
      </w:pPr>
      <w:r>
        <w:rPr>
          <w:rFonts w:ascii="Times New Roman" w:hAnsi="Times New Roman" w:cs="Times New Roman"/>
          <w:spacing w:val="5"/>
          <w:kern w:val="0"/>
          <w:sz w:val="24"/>
          <w:szCs w:val="24"/>
        </w:rPr>
        <w:t>（5）完成鄂州市国有农用土地级别与基准地价评估工作报告和技术报告。</w:t>
      </w:r>
    </w:p>
    <w:bookmarkEnd w:id="38"/>
    <w:p w14:paraId="6F096B3B">
      <w:pPr>
        <w:pStyle w:val="4"/>
        <w:widowControl w:val="0"/>
        <w:tabs>
          <w:tab w:val="left" w:pos="720"/>
        </w:tabs>
        <w:spacing w:before="120" w:after="120" w:line="500" w:lineRule="exact"/>
        <w:ind w:left="826" w:hanging="826"/>
        <w:jc w:val="both"/>
        <w:rPr>
          <w:rFonts w:ascii="宋体" w:hAnsi="宋体"/>
          <w:sz w:val="24"/>
          <w:szCs w:val="24"/>
        </w:rPr>
      </w:pPr>
      <w:bookmarkStart w:id="39" w:name="_Toc47384585"/>
      <w:bookmarkStart w:id="40" w:name="_Toc535399894"/>
      <w:bookmarkStart w:id="41" w:name="_Toc534833315"/>
      <w:r>
        <w:rPr>
          <w:rFonts w:hint="eastAsia" w:ascii="宋体" w:hAnsi="宋体"/>
          <w:sz w:val="24"/>
          <w:szCs w:val="24"/>
        </w:rPr>
        <w:t>1</w:t>
      </w:r>
      <w:r>
        <w:rPr>
          <w:rFonts w:ascii="宋体" w:hAnsi="宋体"/>
          <w:sz w:val="24"/>
          <w:szCs w:val="24"/>
        </w:rPr>
        <w:t>.2.3 工作依据和范围</w:t>
      </w:r>
      <w:bookmarkEnd w:id="39"/>
      <w:bookmarkEnd w:id="40"/>
      <w:bookmarkEnd w:id="41"/>
    </w:p>
    <w:p w14:paraId="4CF9E957">
      <w:pPr>
        <w:pStyle w:val="180"/>
        <w:ind w:firstLine="480"/>
      </w:pPr>
      <w:r>
        <w:rPr>
          <w:rFonts w:hint="eastAsia"/>
        </w:rPr>
        <w:t>（1）</w:t>
      </w:r>
      <w:r>
        <w:t>主要法律法规、政策依据</w:t>
      </w:r>
    </w:p>
    <w:p w14:paraId="662BFA04">
      <w:pPr>
        <w:spacing w:line="500" w:lineRule="exact"/>
        <w:ind w:firstLine="480" w:firstLineChars="200"/>
        <w:rPr>
          <w:sz w:val="24"/>
          <w:szCs w:val="22"/>
        </w:rPr>
      </w:pPr>
      <w:r>
        <w:rPr>
          <w:rFonts w:hint="eastAsia"/>
          <w:sz w:val="24"/>
          <w:szCs w:val="22"/>
        </w:rPr>
        <w:t>①</w:t>
      </w:r>
      <w:r>
        <w:rPr>
          <w:sz w:val="24"/>
          <w:szCs w:val="22"/>
        </w:rPr>
        <w:t>《中华人民共和国土地管理法》（2004年修正）；</w:t>
      </w:r>
    </w:p>
    <w:p w14:paraId="7C841652">
      <w:pPr>
        <w:spacing w:line="500" w:lineRule="exact"/>
        <w:ind w:firstLine="480" w:firstLineChars="200"/>
        <w:rPr>
          <w:sz w:val="24"/>
          <w:szCs w:val="22"/>
        </w:rPr>
      </w:pPr>
      <w:r>
        <w:rPr>
          <w:rFonts w:hint="eastAsia"/>
          <w:sz w:val="24"/>
          <w:szCs w:val="22"/>
        </w:rPr>
        <w:t>②</w:t>
      </w:r>
      <w:r>
        <w:rPr>
          <w:sz w:val="24"/>
          <w:szCs w:val="22"/>
        </w:rPr>
        <w:t>《中</w:t>
      </w:r>
      <w:r>
        <w:rPr>
          <w:rFonts w:hint="eastAsia"/>
          <w:sz w:val="24"/>
          <w:szCs w:val="22"/>
          <w:lang w:val="en-US" w:eastAsia="zh-CN"/>
        </w:rPr>
        <w:t>华</w:t>
      </w:r>
      <w:r>
        <w:rPr>
          <w:sz w:val="24"/>
          <w:szCs w:val="22"/>
        </w:rPr>
        <w:t>人民共和国城乡规划法》（中华人民共和国主席令第274号，2015 年修订）；</w:t>
      </w:r>
    </w:p>
    <w:p w14:paraId="118995F9">
      <w:pPr>
        <w:spacing w:line="500" w:lineRule="exact"/>
        <w:ind w:firstLine="480" w:firstLineChars="200"/>
        <w:rPr>
          <w:sz w:val="24"/>
          <w:szCs w:val="22"/>
        </w:rPr>
      </w:pPr>
      <w:r>
        <w:rPr>
          <w:rFonts w:hint="eastAsia"/>
          <w:sz w:val="24"/>
          <w:szCs w:val="22"/>
        </w:rPr>
        <w:t>③</w:t>
      </w:r>
      <w:r>
        <w:rPr>
          <w:sz w:val="24"/>
          <w:szCs w:val="22"/>
        </w:rPr>
        <w:t>《中华人民共和国物权法》（中华人民共和国主席令第62号，2007 年 3 月 16 日通过）；</w:t>
      </w:r>
    </w:p>
    <w:p w14:paraId="11CD2134">
      <w:pPr>
        <w:spacing w:line="500" w:lineRule="exact"/>
        <w:ind w:firstLine="480" w:firstLineChars="200"/>
        <w:rPr>
          <w:sz w:val="24"/>
          <w:szCs w:val="22"/>
        </w:rPr>
      </w:pPr>
      <w:r>
        <w:rPr>
          <w:rFonts w:hint="eastAsia"/>
          <w:sz w:val="24"/>
          <w:szCs w:val="22"/>
        </w:rPr>
        <w:t>④</w:t>
      </w:r>
      <w:r>
        <w:rPr>
          <w:sz w:val="24"/>
          <w:szCs w:val="22"/>
        </w:rPr>
        <w:t>《关于加大改革创新力度加快农业现代化建设的若干意见》（中发〔2015〕1 号）；</w:t>
      </w:r>
    </w:p>
    <w:p w14:paraId="44E98917">
      <w:pPr>
        <w:spacing w:line="500" w:lineRule="exact"/>
        <w:ind w:firstLine="480" w:firstLineChars="200"/>
        <w:rPr>
          <w:sz w:val="24"/>
          <w:szCs w:val="22"/>
        </w:rPr>
      </w:pPr>
      <w:r>
        <w:rPr>
          <w:rFonts w:hint="eastAsia"/>
          <w:sz w:val="24"/>
          <w:szCs w:val="22"/>
        </w:rPr>
        <w:t>⑤</w:t>
      </w:r>
      <w:r>
        <w:rPr>
          <w:sz w:val="24"/>
          <w:szCs w:val="22"/>
        </w:rPr>
        <w:t>《中共中央国务院关于进一步推进农垦改革发展的意见》（中发〔2015〕33 号）；</w:t>
      </w:r>
    </w:p>
    <w:p w14:paraId="3D892158">
      <w:pPr>
        <w:spacing w:line="500" w:lineRule="exact"/>
        <w:ind w:firstLine="480" w:firstLineChars="200"/>
        <w:rPr>
          <w:sz w:val="24"/>
          <w:szCs w:val="22"/>
        </w:rPr>
      </w:pPr>
      <w:r>
        <w:rPr>
          <w:rFonts w:hint="eastAsia"/>
          <w:sz w:val="24"/>
          <w:szCs w:val="22"/>
        </w:rPr>
        <w:t>⑥</w:t>
      </w:r>
      <w:r>
        <w:rPr>
          <w:sz w:val="24"/>
          <w:szCs w:val="22"/>
        </w:rPr>
        <w:t>《国土资源部国家发展和改革委员会财政部住房和城乡建设部农业部中国人民银行国家林业局中国银行业监督管理委员会关于扩大国有土地有偿使用范围的意见》（国土资规〔2016〕20号）；</w:t>
      </w:r>
    </w:p>
    <w:p w14:paraId="5DADF8E7">
      <w:pPr>
        <w:spacing w:line="500" w:lineRule="exact"/>
        <w:ind w:firstLine="480" w:firstLineChars="200"/>
        <w:rPr>
          <w:sz w:val="24"/>
          <w:szCs w:val="22"/>
        </w:rPr>
      </w:pPr>
      <w:r>
        <w:rPr>
          <w:rFonts w:hint="eastAsia"/>
          <w:sz w:val="24"/>
          <w:szCs w:val="22"/>
        </w:rPr>
        <w:t>⑦</w:t>
      </w:r>
      <w:r>
        <w:rPr>
          <w:sz w:val="24"/>
          <w:szCs w:val="22"/>
        </w:rPr>
        <w:t>《国土资源部办公厅关于加强公示地价体系建设和管理有关问题的通知》（国土地资厅发〔2017〕27 号）。</w:t>
      </w:r>
    </w:p>
    <w:p w14:paraId="7E5EA0AB">
      <w:pPr>
        <w:pStyle w:val="63"/>
        <w:spacing w:line="500" w:lineRule="exact"/>
        <w:ind w:firstLine="480"/>
        <w:rPr>
          <w:sz w:val="24"/>
        </w:rPr>
      </w:pPr>
      <w:r>
        <w:rPr>
          <w:rFonts w:hint="eastAsia"/>
          <w:sz w:val="24"/>
        </w:rPr>
        <w:t>⑧</w:t>
      </w:r>
      <w:r>
        <w:rPr>
          <w:sz w:val="24"/>
        </w:rPr>
        <w:t>《省国土资源厅办公室转发关于加强公示地价体系建设和管理有关问题的通知》（鄂土资办文〔2017〕37号）；</w:t>
      </w:r>
    </w:p>
    <w:p w14:paraId="6554057D">
      <w:pPr>
        <w:pStyle w:val="63"/>
        <w:spacing w:line="500" w:lineRule="exact"/>
        <w:ind w:firstLine="480"/>
        <w:rPr>
          <w:sz w:val="24"/>
        </w:rPr>
      </w:pPr>
      <w:r>
        <w:rPr>
          <w:rFonts w:hint="eastAsia"/>
          <w:sz w:val="24"/>
        </w:rPr>
        <w:t>⑨</w:t>
      </w:r>
      <w:r>
        <w:rPr>
          <w:sz w:val="24"/>
        </w:rPr>
        <w:t>《省国土资源厅办公室转发关于印发公示地价体系建设工作方案的通知》（鄂土资办函〔2018〕84号）；</w:t>
      </w:r>
    </w:p>
    <w:p w14:paraId="775FAB0C">
      <w:pPr>
        <w:pStyle w:val="63"/>
        <w:spacing w:line="500" w:lineRule="exact"/>
        <w:ind w:firstLine="480"/>
        <w:rPr>
          <w:sz w:val="24"/>
        </w:rPr>
      </w:pPr>
      <w:r>
        <w:rPr>
          <w:rFonts w:hint="eastAsia"/>
          <w:sz w:val="24"/>
        </w:rPr>
        <w:t>⑩</w:t>
      </w:r>
      <w:r>
        <w:rPr>
          <w:sz w:val="24"/>
        </w:rPr>
        <w:t>《省国土资源厅办公室转发关于公示地价成果验收备案事项的通知》（鄂土资办函〔2018〕94号）。</w:t>
      </w:r>
    </w:p>
    <w:p w14:paraId="390464E8">
      <w:pPr>
        <w:pStyle w:val="180"/>
        <w:ind w:firstLine="480"/>
      </w:pPr>
      <w:r>
        <w:rPr>
          <w:rFonts w:hint="eastAsia"/>
        </w:rPr>
        <w:t>（2）</w:t>
      </w:r>
      <w:r>
        <w:t>技术依据</w:t>
      </w:r>
    </w:p>
    <w:p w14:paraId="2D91AF5B">
      <w:pPr>
        <w:spacing w:line="500" w:lineRule="exact"/>
        <w:ind w:firstLine="480" w:firstLineChars="200"/>
        <w:rPr>
          <w:sz w:val="24"/>
          <w:szCs w:val="22"/>
        </w:rPr>
      </w:pPr>
      <w:r>
        <w:rPr>
          <w:rFonts w:hint="eastAsia"/>
          <w:sz w:val="24"/>
          <w:szCs w:val="22"/>
        </w:rPr>
        <w:t>①</w:t>
      </w:r>
      <w:r>
        <w:rPr>
          <w:sz w:val="24"/>
          <w:szCs w:val="22"/>
        </w:rPr>
        <w:t>《农用地质量定级规程》（GB/T28405-2012）；</w:t>
      </w:r>
    </w:p>
    <w:p w14:paraId="65E760A7">
      <w:pPr>
        <w:spacing w:line="500" w:lineRule="exact"/>
        <w:ind w:firstLine="480" w:firstLineChars="200"/>
        <w:rPr>
          <w:sz w:val="24"/>
          <w:szCs w:val="22"/>
        </w:rPr>
      </w:pPr>
      <w:r>
        <w:rPr>
          <w:rFonts w:hint="eastAsia"/>
          <w:sz w:val="24"/>
          <w:szCs w:val="22"/>
        </w:rPr>
        <w:t>②</w:t>
      </w:r>
      <w:r>
        <w:rPr>
          <w:sz w:val="24"/>
          <w:szCs w:val="22"/>
        </w:rPr>
        <w:t>《农用地估价规程》（GB/T 28406-2012）；</w:t>
      </w:r>
    </w:p>
    <w:p w14:paraId="6BAF31C3">
      <w:pPr>
        <w:spacing w:line="500" w:lineRule="exact"/>
        <w:ind w:firstLine="480" w:firstLineChars="200"/>
        <w:rPr>
          <w:sz w:val="24"/>
          <w:szCs w:val="22"/>
        </w:rPr>
      </w:pPr>
      <w:r>
        <w:rPr>
          <w:rFonts w:hint="eastAsia"/>
          <w:sz w:val="24"/>
          <w:szCs w:val="22"/>
        </w:rPr>
        <w:t>③</w:t>
      </w:r>
      <w:r>
        <w:rPr>
          <w:sz w:val="24"/>
          <w:szCs w:val="22"/>
        </w:rPr>
        <w:t>《农用地质量分等规程》（GB/T 28407-2012）；</w:t>
      </w:r>
    </w:p>
    <w:p w14:paraId="36DA96C9">
      <w:pPr>
        <w:spacing w:line="500" w:lineRule="exact"/>
        <w:ind w:firstLine="480" w:firstLineChars="200"/>
        <w:rPr>
          <w:sz w:val="24"/>
          <w:szCs w:val="22"/>
        </w:rPr>
      </w:pPr>
      <w:r>
        <w:rPr>
          <w:rFonts w:hint="eastAsia"/>
          <w:sz w:val="24"/>
          <w:szCs w:val="22"/>
        </w:rPr>
        <w:t>④</w:t>
      </w:r>
      <w:r>
        <w:rPr>
          <w:sz w:val="24"/>
          <w:szCs w:val="22"/>
        </w:rPr>
        <w:t>《土地利用现状分类》（GB/T21010-2017）。</w:t>
      </w:r>
    </w:p>
    <w:p w14:paraId="25B157A0">
      <w:pPr>
        <w:spacing w:line="500" w:lineRule="exact"/>
        <w:ind w:firstLine="480" w:firstLineChars="200"/>
        <w:rPr>
          <w:sz w:val="24"/>
          <w:szCs w:val="22"/>
        </w:rPr>
      </w:pPr>
      <w:r>
        <w:rPr>
          <w:rFonts w:hint="eastAsia" w:ascii="宋体" w:hAnsi="宋体"/>
          <w:sz w:val="24"/>
          <w:szCs w:val="22"/>
        </w:rPr>
        <w:t>⑤</w:t>
      </w:r>
      <w:r>
        <w:rPr>
          <w:sz w:val="24"/>
          <w:szCs w:val="22"/>
        </w:rPr>
        <w:t>《湖北省公示地价体系建设技术规范（试行）》；</w:t>
      </w:r>
    </w:p>
    <w:p w14:paraId="3A43E178">
      <w:pPr>
        <w:spacing w:line="500" w:lineRule="exact"/>
        <w:ind w:firstLine="480" w:firstLineChars="200"/>
        <w:rPr>
          <w:sz w:val="24"/>
          <w:szCs w:val="22"/>
        </w:rPr>
      </w:pPr>
      <w:r>
        <w:rPr>
          <w:rFonts w:hint="eastAsia"/>
          <w:sz w:val="24"/>
          <w:szCs w:val="22"/>
        </w:rPr>
        <w:t>⑥</w:t>
      </w:r>
      <w:r>
        <w:rPr>
          <w:sz w:val="24"/>
          <w:szCs w:val="22"/>
        </w:rPr>
        <w:t>《湖北省公示地价体系数据库标准（试行）》。</w:t>
      </w:r>
    </w:p>
    <w:p w14:paraId="212AF885">
      <w:pPr>
        <w:pStyle w:val="180"/>
        <w:ind w:firstLine="480"/>
      </w:pPr>
      <w:r>
        <w:rPr>
          <w:rFonts w:hint="eastAsia"/>
        </w:rPr>
        <w:t>（3）</w:t>
      </w:r>
      <w:r>
        <w:t>其它依据</w:t>
      </w:r>
    </w:p>
    <w:p w14:paraId="3048AF68">
      <w:pPr>
        <w:spacing w:line="500" w:lineRule="exact"/>
        <w:ind w:firstLine="480" w:firstLineChars="200"/>
        <w:rPr>
          <w:sz w:val="24"/>
          <w:szCs w:val="22"/>
        </w:rPr>
      </w:pPr>
      <w:r>
        <w:rPr>
          <w:rFonts w:hint="eastAsia" w:ascii="宋体" w:hAnsi="宋体"/>
          <w:sz w:val="24"/>
          <w:szCs w:val="22"/>
        </w:rPr>
        <w:t>①</w:t>
      </w:r>
      <w:r>
        <w:rPr>
          <w:sz w:val="24"/>
          <w:szCs w:val="22"/>
        </w:rPr>
        <w:t>鄂州市土地利用总体规划（2006-2020</w:t>
      </w:r>
      <w:r>
        <w:rPr>
          <w:rFonts w:hint="eastAsia"/>
          <w:sz w:val="24"/>
          <w:szCs w:val="22"/>
        </w:rPr>
        <w:t>年</w:t>
      </w:r>
      <w:r>
        <w:rPr>
          <w:sz w:val="24"/>
          <w:szCs w:val="22"/>
        </w:rPr>
        <w:t>）；</w:t>
      </w:r>
    </w:p>
    <w:p w14:paraId="6A73C9D3">
      <w:pPr>
        <w:spacing w:line="500" w:lineRule="exact"/>
        <w:ind w:firstLine="480" w:firstLineChars="200"/>
        <w:rPr>
          <w:sz w:val="24"/>
          <w:szCs w:val="22"/>
        </w:rPr>
      </w:pPr>
      <w:r>
        <w:rPr>
          <w:rFonts w:hint="eastAsia" w:ascii="宋体" w:hAnsi="宋体"/>
          <w:sz w:val="24"/>
          <w:szCs w:val="22"/>
        </w:rPr>
        <w:t>②</w:t>
      </w:r>
      <w:r>
        <w:rPr>
          <w:sz w:val="24"/>
          <w:szCs w:val="22"/>
        </w:rPr>
        <w:t>鄂州市 2017 年土地利用现状数据调查成果；</w:t>
      </w:r>
    </w:p>
    <w:p w14:paraId="3221F161">
      <w:pPr>
        <w:spacing w:line="500" w:lineRule="exact"/>
        <w:ind w:firstLine="480" w:firstLineChars="200"/>
        <w:rPr>
          <w:sz w:val="24"/>
          <w:szCs w:val="22"/>
        </w:rPr>
      </w:pPr>
      <w:r>
        <w:rPr>
          <w:rFonts w:hint="eastAsia" w:ascii="宋体" w:hAnsi="宋体"/>
          <w:sz w:val="24"/>
          <w:szCs w:val="22"/>
        </w:rPr>
        <w:t>③</w:t>
      </w:r>
      <w:r>
        <w:rPr>
          <w:sz w:val="24"/>
          <w:szCs w:val="22"/>
        </w:rPr>
        <w:t>鄂州市影像图；</w:t>
      </w:r>
    </w:p>
    <w:p w14:paraId="425CDF0E">
      <w:pPr>
        <w:spacing w:line="500" w:lineRule="exact"/>
        <w:ind w:firstLine="480" w:firstLineChars="200"/>
        <w:rPr>
          <w:sz w:val="24"/>
          <w:szCs w:val="22"/>
        </w:rPr>
      </w:pPr>
      <w:r>
        <w:rPr>
          <w:rFonts w:hint="eastAsia" w:ascii="宋体" w:hAnsi="宋体"/>
          <w:sz w:val="24"/>
          <w:szCs w:val="22"/>
        </w:rPr>
        <w:t>④</w:t>
      </w:r>
      <w:r>
        <w:rPr>
          <w:sz w:val="24"/>
          <w:szCs w:val="22"/>
        </w:rPr>
        <w:t>鄂州市城市概况、社会经济发展情况；</w:t>
      </w:r>
    </w:p>
    <w:p w14:paraId="69C7A737">
      <w:pPr>
        <w:spacing w:line="500" w:lineRule="exact"/>
        <w:ind w:firstLine="480" w:firstLineChars="200"/>
        <w:rPr>
          <w:sz w:val="24"/>
          <w:szCs w:val="22"/>
        </w:rPr>
      </w:pPr>
      <w:r>
        <w:rPr>
          <w:rFonts w:hint="eastAsia" w:ascii="宋体" w:hAnsi="宋体"/>
          <w:sz w:val="24"/>
          <w:szCs w:val="22"/>
        </w:rPr>
        <w:t>⑤</w:t>
      </w:r>
      <w:r>
        <w:rPr>
          <w:sz w:val="24"/>
          <w:szCs w:val="22"/>
        </w:rPr>
        <w:t>鄂州市 2017 年统计年鉴；</w:t>
      </w:r>
    </w:p>
    <w:p w14:paraId="2C73DF20">
      <w:pPr>
        <w:spacing w:line="500" w:lineRule="exact"/>
        <w:ind w:firstLine="480" w:firstLineChars="200"/>
        <w:rPr>
          <w:sz w:val="24"/>
          <w:szCs w:val="22"/>
        </w:rPr>
      </w:pPr>
      <w:r>
        <w:rPr>
          <w:rFonts w:hint="eastAsia"/>
          <w:sz w:val="24"/>
          <w:szCs w:val="22"/>
        </w:rPr>
        <w:t>⑥</w:t>
      </w:r>
      <w:r>
        <w:rPr>
          <w:sz w:val="24"/>
          <w:szCs w:val="22"/>
        </w:rPr>
        <w:t>外业实地调查样点地价资料。</w:t>
      </w:r>
    </w:p>
    <w:p w14:paraId="69007AA6">
      <w:pPr>
        <w:pStyle w:val="180"/>
        <w:ind w:firstLine="480"/>
      </w:pPr>
      <w:r>
        <w:rPr>
          <w:rFonts w:hint="eastAsia"/>
        </w:rPr>
        <w:t>（4）</w:t>
      </w:r>
      <w:r>
        <w:t>工作范围</w:t>
      </w:r>
    </w:p>
    <w:p w14:paraId="348C6DC9">
      <w:pPr>
        <w:pStyle w:val="180"/>
        <w:ind w:firstLine="500"/>
        <w:rPr>
          <w:spacing w:val="5"/>
          <w:kern w:val="0"/>
        </w:rPr>
      </w:pPr>
      <w:r>
        <w:rPr>
          <w:spacing w:val="5"/>
          <w:kern w:val="0"/>
        </w:rPr>
        <w:t>鄂州市行政区内现有国有农用地包括水田、水浇地和旱地、果园、其他草地、其他林地。本次定级与基准地价评估涉及的国有农用地面积为3188.55公顷，其中耕地总面积为2071.09公顷。由于国有农用地中耕地面积占比达到了64.96%，其他面积大部分为有林地等自然林地，经济属性较低。故此次鄂州市国有农用地基准地评估工作只进行耕地基准地价的评估</w:t>
      </w:r>
      <w:r>
        <w:rPr>
          <w:rFonts w:hint="eastAsia"/>
          <w:spacing w:val="5"/>
          <w:kern w:val="0"/>
        </w:rPr>
        <w:t>，主要涉及峒山村、高沟村、夏沟村等村庄及鄂钢农场、沼山林场、夏大湖原种场、四海湖渔场等农场内的耕地，</w:t>
      </w:r>
      <w:r>
        <w:rPr>
          <w:spacing w:val="5"/>
          <w:kern w:val="0"/>
        </w:rPr>
        <w:t>总面积20.71平方公里。</w:t>
      </w:r>
    </w:p>
    <w:p w14:paraId="6E931A0A">
      <w:pPr>
        <w:pStyle w:val="180"/>
        <w:ind w:firstLine="480"/>
      </w:pPr>
      <w:r>
        <w:rPr>
          <w:szCs w:val="22"/>
        </w:rPr>
        <w:t>鄂州市国有农用地类型及分布具体见</w:t>
      </w:r>
      <w:r>
        <w:rPr>
          <w:rFonts w:hint="eastAsia"/>
          <w:szCs w:val="22"/>
        </w:rPr>
        <w:t>图1-2和表1-1</w:t>
      </w:r>
      <w:r>
        <w:rPr>
          <w:szCs w:val="22"/>
        </w:rPr>
        <w:t>：</w:t>
      </w:r>
    </w:p>
    <w:p w14:paraId="5FBC3C32">
      <w:pPr>
        <w:spacing w:line="360" w:lineRule="auto"/>
        <w:jc w:val="center"/>
        <w:rPr>
          <w:rFonts w:eastAsia="仿宋_GB2312"/>
          <w:b/>
          <w:sz w:val="24"/>
          <w:szCs w:val="21"/>
        </w:rPr>
      </w:pPr>
      <w:r>
        <w:rPr>
          <w:rFonts w:eastAsia="仿宋_GB2312"/>
          <w:b/>
          <w:sz w:val="24"/>
          <w:szCs w:val="21"/>
        </w:rPr>
        <w:drawing>
          <wp:inline distT="0" distB="0" distL="0" distR="0">
            <wp:extent cx="4821555" cy="6353175"/>
            <wp:effectExtent l="0" t="0" r="0" b="0"/>
            <wp:docPr id="2" name="图片 2" descr="无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无标题2"/>
                    <pic:cNvPicPr>
                      <a:picLocks noChangeAspect="1" noChangeArrowheads="1"/>
                    </pic:cNvPicPr>
                  </pic:nvPicPr>
                  <pic:blipFill>
                    <a:blip r:embed="rId8" cstate="print">
                      <a:extLst>
                        <a:ext uri="{28A0092B-C50C-407E-A947-70E740481C1C}">
                          <a14:useLocalDpi xmlns:a14="http://schemas.microsoft.com/office/drawing/2010/main" val="0"/>
                        </a:ext>
                      </a:extLst>
                    </a:blip>
                    <a:srcRect b="4977"/>
                    <a:stretch>
                      <a:fillRect/>
                    </a:stretch>
                  </pic:blipFill>
                  <pic:spPr>
                    <a:xfrm>
                      <a:off x="0" y="0"/>
                      <a:ext cx="4864968" cy="6410135"/>
                    </a:xfrm>
                    <a:prstGeom prst="rect">
                      <a:avLst/>
                    </a:prstGeom>
                    <a:noFill/>
                    <a:ln>
                      <a:noFill/>
                    </a:ln>
                  </pic:spPr>
                </pic:pic>
              </a:graphicData>
            </a:graphic>
          </wp:inline>
        </w:drawing>
      </w:r>
    </w:p>
    <w:p w14:paraId="7C110875">
      <w:pPr>
        <w:spacing w:line="360" w:lineRule="auto"/>
        <w:ind w:firstLine="422" w:firstLineChars="200"/>
        <w:jc w:val="center"/>
        <w:rPr>
          <w:rFonts w:eastAsia="黑体"/>
          <w:b/>
          <w:szCs w:val="21"/>
        </w:rPr>
      </w:pPr>
      <w:r>
        <w:rPr>
          <w:rFonts w:eastAsia="黑体"/>
          <w:b/>
          <w:szCs w:val="21"/>
        </w:rPr>
        <w:t>图1-2鄂州市国有农用地分布图</w:t>
      </w:r>
    </w:p>
    <w:p w14:paraId="2E7EC192">
      <w:pPr>
        <w:spacing w:line="500" w:lineRule="exact"/>
        <w:ind w:firstLine="480" w:firstLineChars="200"/>
        <w:rPr>
          <w:sz w:val="24"/>
          <w:szCs w:val="22"/>
        </w:rPr>
      </w:pPr>
      <w:r>
        <w:rPr>
          <w:sz w:val="24"/>
          <w:szCs w:val="22"/>
        </w:rPr>
        <w:br w:type="page"/>
      </w:r>
    </w:p>
    <w:p w14:paraId="4F8F08B7">
      <w:pPr>
        <w:widowControl w:val="0"/>
        <w:ind w:firstLine="422" w:firstLineChars="200"/>
        <w:jc w:val="center"/>
        <w:rPr>
          <w:b/>
          <w:szCs w:val="21"/>
        </w:rPr>
      </w:pPr>
      <w:r>
        <w:rPr>
          <w:b/>
          <w:szCs w:val="21"/>
        </w:rPr>
        <w:t>表1-1 鄂州市国有农用地类型及分布统计表</w:t>
      </w:r>
    </w:p>
    <w:p w14:paraId="4B38284B">
      <w:pPr>
        <w:widowControl w:val="0"/>
        <w:ind w:firstLine="420" w:firstLineChars="200"/>
        <w:jc w:val="right"/>
        <w:rPr>
          <w:szCs w:val="21"/>
        </w:rPr>
      </w:pPr>
      <w:r>
        <w:rPr>
          <w:szCs w:val="21"/>
        </w:rPr>
        <w:t>单位：公顷</w:t>
      </w:r>
    </w:p>
    <w:tbl>
      <w:tblPr>
        <w:tblStyle w:val="39"/>
        <w:tblW w:w="9161" w:type="dxa"/>
        <w:jc w:val="center"/>
        <w:tblLayout w:type="fixed"/>
        <w:tblCellMar>
          <w:top w:w="0" w:type="dxa"/>
          <w:left w:w="108" w:type="dxa"/>
          <w:bottom w:w="0" w:type="dxa"/>
          <w:right w:w="108" w:type="dxa"/>
        </w:tblCellMar>
      </w:tblPr>
      <w:tblGrid>
        <w:gridCol w:w="1419"/>
        <w:gridCol w:w="777"/>
        <w:gridCol w:w="924"/>
        <w:gridCol w:w="640"/>
        <w:gridCol w:w="723"/>
        <w:gridCol w:w="709"/>
        <w:gridCol w:w="850"/>
        <w:gridCol w:w="709"/>
        <w:gridCol w:w="851"/>
        <w:gridCol w:w="708"/>
        <w:gridCol w:w="851"/>
      </w:tblGrid>
      <w:tr w14:paraId="77C47126">
        <w:tblPrEx>
          <w:tblCellMar>
            <w:top w:w="0" w:type="dxa"/>
            <w:left w:w="108" w:type="dxa"/>
            <w:bottom w:w="0" w:type="dxa"/>
            <w:right w:w="108" w:type="dxa"/>
          </w:tblCellMar>
        </w:tblPrEx>
        <w:trPr>
          <w:trHeight w:val="660" w:hRule="atLeast"/>
          <w:jc w:val="center"/>
        </w:trPr>
        <w:tc>
          <w:tcPr>
            <w:tcW w:w="1419" w:type="dxa"/>
            <w:tcBorders>
              <w:top w:val="single" w:color="auto" w:sz="4" w:space="0"/>
              <w:left w:val="single" w:color="auto" w:sz="4" w:space="0"/>
              <w:bottom w:val="single" w:color="auto" w:sz="4" w:space="0"/>
              <w:right w:val="single" w:color="auto" w:sz="4" w:space="0"/>
            </w:tcBorders>
            <w:vAlign w:val="center"/>
          </w:tcPr>
          <w:p w14:paraId="1D38DBFD">
            <w:pPr>
              <w:jc w:val="center"/>
              <w:rPr>
                <w:rFonts w:ascii="宋体" w:hAnsi="宋体"/>
                <w:b/>
                <w:color w:val="000000"/>
                <w:kern w:val="0"/>
                <w:szCs w:val="21"/>
              </w:rPr>
            </w:pPr>
            <w:r>
              <w:rPr>
                <w:rFonts w:ascii="宋体" w:hAnsi="宋体"/>
                <w:b/>
                <w:color w:val="000000"/>
                <w:kern w:val="0"/>
                <w:szCs w:val="21"/>
              </w:rPr>
              <w:t>行政村名</w:t>
            </w:r>
          </w:p>
        </w:tc>
        <w:tc>
          <w:tcPr>
            <w:tcW w:w="777" w:type="dxa"/>
            <w:tcBorders>
              <w:top w:val="single" w:color="auto" w:sz="4" w:space="0"/>
              <w:left w:val="nil"/>
              <w:bottom w:val="single" w:color="auto" w:sz="4" w:space="0"/>
              <w:right w:val="single" w:color="auto" w:sz="4" w:space="0"/>
            </w:tcBorders>
            <w:vAlign w:val="center"/>
          </w:tcPr>
          <w:p w14:paraId="13EC2ACA">
            <w:pPr>
              <w:jc w:val="center"/>
              <w:rPr>
                <w:rFonts w:ascii="宋体" w:hAnsi="宋体"/>
                <w:b/>
                <w:color w:val="000000"/>
                <w:kern w:val="0"/>
                <w:szCs w:val="21"/>
              </w:rPr>
            </w:pPr>
            <w:r>
              <w:rPr>
                <w:rFonts w:ascii="宋体" w:hAnsi="宋体"/>
                <w:b/>
                <w:color w:val="000000"/>
                <w:kern w:val="0"/>
                <w:szCs w:val="21"/>
              </w:rPr>
              <w:t>水田</w:t>
            </w:r>
          </w:p>
        </w:tc>
        <w:tc>
          <w:tcPr>
            <w:tcW w:w="924" w:type="dxa"/>
            <w:tcBorders>
              <w:top w:val="single" w:color="auto" w:sz="4" w:space="0"/>
              <w:left w:val="nil"/>
              <w:bottom w:val="single" w:color="auto" w:sz="4" w:space="0"/>
              <w:right w:val="single" w:color="auto" w:sz="4" w:space="0"/>
            </w:tcBorders>
            <w:vAlign w:val="center"/>
          </w:tcPr>
          <w:p w14:paraId="175996B3">
            <w:pPr>
              <w:jc w:val="center"/>
              <w:rPr>
                <w:rFonts w:ascii="宋体" w:hAnsi="宋体"/>
                <w:b/>
                <w:color w:val="000000"/>
                <w:kern w:val="0"/>
                <w:szCs w:val="21"/>
              </w:rPr>
            </w:pPr>
            <w:r>
              <w:rPr>
                <w:rFonts w:ascii="宋体" w:hAnsi="宋体"/>
                <w:b/>
                <w:color w:val="000000"/>
                <w:kern w:val="0"/>
                <w:szCs w:val="21"/>
              </w:rPr>
              <w:t>水浇地</w:t>
            </w:r>
          </w:p>
        </w:tc>
        <w:tc>
          <w:tcPr>
            <w:tcW w:w="640" w:type="dxa"/>
            <w:tcBorders>
              <w:top w:val="single" w:color="auto" w:sz="4" w:space="0"/>
              <w:left w:val="nil"/>
              <w:bottom w:val="single" w:color="auto" w:sz="4" w:space="0"/>
              <w:right w:val="single" w:color="auto" w:sz="4" w:space="0"/>
            </w:tcBorders>
            <w:vAlign w:val="center"/>
          </w:tcPr>
          <w:p w14:paraId="797B0CEF">
            <w:pPr>
              <w:jc w:val="center"/>
              <w:rPr>
                <w:rFonts w:ascii="宋体" w:hAnsi="宋体"/>
                <w:b/>
                <w:color w:val="000000"/>
                <w:kern w:val="0"/>
                <w:szCs w:val="21"/>
              </w:rPr>
            </w:pPr>
            <w:r>
              <w:rPr>
                <w:rFonts w:ascii="宋体" w:hAnsi="宋体"/>
                <w:b/>
                <w:color w:val="000000"/>
                <w:kern w:val="0"/>
                <w:szCs w:val="21"/>
              </w:rPr>
              <w:t>旱地</w:t>
            </w:r>
          </w:p>
        </w:tc>
        <w:tc>
          <w:tcPr>
            <w:tcW w:w="723" w:type="dxa"/>
            <w:tcBorders>
              <w:top w:val="single" w:color="auto" w:sz="4" w:space="0"/>
              <w:left w:val="nil"/>
              <w:bottom w:val="single" w:color="auto" w:sz="4" w:space="0"/>
              <w:right w:val="single" w:color="auto" w:sz="4" w:space="0"/>
            </w:tcBorders>
            <w:vAlign w:val="center"/>
          </w:tcPr>
          <w:p w14:paraId="53900DBB">
            <w:pPr>
              <w:jc w:val="center"/>
              <w:rPr>
                <w:rFonts w:ascii="宋体" w:hAnsi="宋体"/>
                <w:b/>
                <w:color w:val="000000"/>
                <w:kern w:val="0"/>
                <w:szCs w:val="21"/>
              </w:rPr>
            </w:pPr>
            <w:r>
              <w:rPr>
                <w:rFonts w:ascii="宋体" w:hAnsi="宋体"/>
                <w:b/>
                <w:color w:val="000000"/>
                <w:kern w:val="0"/>
                <w:szCs w:val="21"/>
              </w:rPr>
              <w:t>果园</w:t>
            </w:r>
          </w:p>
        </w:tc>
        <w:tc>
          <w:tcPr>
            <w:tcW w:w="709" w:type="dxa"/>
            <w:tcBorders>
              <w:top w:val="single" w:color="auto" w:sz="4" w:space="0"/>
              <w:left w:val="nil"/>
              <w:bottom w:val="single" w:color="auto" w:sz="4" w:space="0"/>
              <w:right w:val="single" w:color="auto" w:sz="4" w:space="0"/>
            </w:tcBorders>
            <w:vAlign w:val="center"/>
          </w:tcPr>
          <w:p w14:paraId="303AAF10">
            <w:pPr>
              <w:jc w:val="center"/>
              <w:rPr>
                <w:rFonts w:ascii="宋体" w:hAnsi="宋体"/>
                <w:b/>
                <w:color w:val="000000"/>
                <w:kern w:val="0"/>
                <w:szCs w:val="21"/>
              </w:rPr>
            </w:pPr>
            <w:r>
              <w:rPr>
                <w:rFonts w:ascii="宋体" w:hAnsi="宋体"/>
                <w:b/>
                <w:color w:val="000000"/>
                <w:kern w:val="0"/>
                <w:szCs w:val="21"/>
              </w:rPr>
              <w:t>茶园</w:t>
            </w:r>
          </w:p>
        </w:tc>
        <w:tc>
          <w:tcPr>
            <w:tcW w:w="850" w:type="dxa"/>
            <w:tcBorders>
              <w:top w:val="single" w:color="auto" w:sz="4" w:space="0"/>
              <w:left w:val="nil"/>
              <w:bottom w:val="single" w:color="auto" w:sz="4" w:space="0"/>
              <w:right w:val="single" w:color="auto" w:sz="4" w:space="0"/>
            </w:tcBorders>
            <w:vAlign w:val="center"/>
          </w:tcPr>
          <w:p w14:paraId="7CEF6022">
            <w:pPr>
              <w:jc w:val="center"/>
              <w:rPr>
                <w:rFonts w:ascii="宋体" w:hAnsi="宋体"/>
                <w:b/>
                <w:color w:val="000000"/>
                <w:kern w:val="0"/>
                <w:szCs w:val="21"/>
              </w:rPr>
            </w:pPr>
            <w:r>
              <w:rPr>
                <w:rFonts w:ascii="宋体" w:hAnsi="宋体"/>
                <w:b/>
                <w:color w:val="000000"/>
                <w:kern w:val="0"/>
                <w:szCs w:val="21"/>
              </w:rPr>
              <w:t>有林地</w:t>
            </w:r>
          </w:p>
        </w:tc>
        <w:tc>
          <w:tcPr>
            <w:tcW w:w="709" w:type="dxa"/>
            <w:tcBorders>
              <w:top w:val="single" w:color="auto" w:sz="4" w:space="0"/>
              <w:left w:val="nil"/>
              <w:bottom w:val="single" w:color="auto" w:sz="4" w:space="0"/>
              <w:right w:val="single" w:color="auto" w:sz="4" w:space="0"/>
            </w:tcBorders>
            <w:vAlign w:val="center"/>
          </w:tcPr>
          <w:p w14:paraId="62A90A25">
            <w:pPr>
              <w:jc w:val="center"/>
              <w:rPr>
                <w:rFonts w:ascii="宋体" w:hAnsi="宋体"/>
                <w:b/>
                <w:color w:val="000000"/>
                <w:kern w:val="0"/>
                <w:szCs w:val="21"/>
              </w:rPr>
            </w:pPr>
            <w:r>
              <w:rPr>
                <w:rFonts w:ascii="宋体" w:hAnsi="宋体"/>
                <w:b/>
                <w:color w:val="000000"/>
                <w:kern w:val="0"/>
                <w:szCs w:val="21"/>
              </w:rPr>
              <w:t>灌木</w:t>
            </w:r>
          </w:p>
          <w:p w14:paraId="6460700B">
            <w:pPr>
              <w:jc w:val="center"/>
              <w:rPr>
                <w:rFonts w:ascii="宋体" w:hAnsi="宋体"/>
                <w:b/>
                <w:color w:val="000000"/>
                <w:kern w:val="0"/>
                <w:szCs w:val="21"/>
              </w:rPr>
            </w:pPr>
            <w:r>
              <w:rPr>
                <w:rFonts w:ascii="宋体" w:hAnsi="宋体"/>
                <w:b/>
                <w:color w:val="000000"/>
                <w:kern w:val="0"/>
                <w:szCs w:val="21"/>
              </w:rPr>
              <w:t>林地</w:t>
            </w:r>
          </w:p>
        </w:tc>
        <w:tc>
          <w:tcPr>
            <w:tcW w:w="851" w:type="dxa"/>
            <w:tcBorders>
              <w:top w:val="single" w:color="auto" w:sz="4" w:space="0"/>
              <w:left w:val="nil"/>
              <w:bottom w:val="single" w:color="auto" w:sz="4" w:space="0"/>
              <w:right w:val="single" w:color="auto" w:sz="4" w:space="0"/>
            </w:tcBorders>
            <w:vAlign w:val="center"/>
          </w:tcPr>
          <w:p w14:paraId="76B19C7C">
            <w:pPr>
              <w:jc w:val="center"/>
              <w:rPr>
                <w:rFonts w:ascii="宋体" w:hAnsi="宋体"/>
                <w:b/>
                <w:color w:val="000000"/>
                <w:kern w:val="0"/>
                <w:szCs w:val="21"/>
              </w:rPr>
            </w:pPr>
            <w:r>
              <w:rPr>
                <w:rFonts w:ascii="宋体" w:hAnsi="宋体"/>
                <w:b/>
                <w:color w:val="000000"/>
                <w:kern w:val="0"/>
                <w:szCs w:val="21"/>
              </w:rPr>
              <w:t>其他</w:t>
            </w:r>
          </w:p>
          <w:p w14:paraId="14E46EFC">
            <w:pPr>
              <w:jc w:val="center"/>
              <w:rPr>
                <w:rFonts w:ascii="宋体" w:hAnsi="宋体"/>
                <w:b/>
                <w:color w:val="000000"/>
                <w:kern w:val="0"/>
                <w:szCs w:val="21"/>
              </w:rPr>
            </w:pPr>
            <w:r>
              <w:rPr>
                <w:rFonts w:ascii="宋体" w:hAnsi="宋体"/>
                <w:b/>
                <w:color w:val="000000"/>
                <w:kern w:val="0"/>
                <w:szCs w:val="21"/>
              </w:rPr>
              <w:t>林地</w:t>
            </w:r>
          </w:p>
        </w:tc>
        <w:tc>
          <w:tcPr>
            <w:tcW w:w="708" w:type="dxa"/>
            <w:tcBorders>
              <w:top w:val="single" w:color="auto" w:sz="4" w:space="0"/>
              <w:left w:val="nil"/>
              <w:bottom w:val="single" w:color="auto" w:sz="4" w:space="0"/>
              <w:right w:val="single" w:color="auto" w:sz="4" w:space="0"/>
            </w:tcBorders>
            <w:vAlign w:val="center"/>
          </w:tcPr>
          <w:p w14:paraId="67038E4B">
            <w:pPr>
              <w:jc w:val="center"/>
              <w:rPr>
                <w:rFonts w:ascii="宋体" w:hAnsi="宋体"/>
                <w:b/>
                <w:color w:val="000000"/>
                <w:kern w:val="0"/>
                <w:szCs w:val="21"/>
              </w:rPr>
            </w:pPr>
            <w:r>
              <w:rPr>
                <w:rFonts w:ascii="宋体" w:hAnsi="宋体"/>
                <w:b/>
                <w:color w:val="000000"/>
                <w:kern w:val="0"/>
                <w:szCs w:val="21"/>
              </w:rPr>
              <w:t>其他</w:t>
            </w:r>
          </w:p>
          <w:p w14:paraId="682626A2">
            <w:pPr>
              <w:jc w:val="center"/>
              <w:rPr>
                <w:rFonts w:ascii="宋体" w:hAnsi="宋体"/>
                <w:b/>
                <w:color w:val="000000"/>
                <w:kern w:val="0"/>
                <w:szCs w:val="21"/>
              </w:rPr>
            </w:pPr>
            <w:r>
              <w:rPr>
                <w:rFonts w:ascii="宋体" w:hAnsi="宋体"/>
                <w:b/>
                <w:color w:val="000000"/>
                <w:kern w:val="0"/>
                <w:szCs w:val="21"/>
              </w:rPr>
              <w:t>草地</w:t>
            </w:r>
          </w:p>
        </w:tc>
        <w:tc>
          <w:tcPr>
            <w:tcW w:w="851" w:type="dxa"/>
            <w:tcBorders>
              <w:top w:val="single" w:color="auto" w:sz="4" w:space="0"/>
              <w:left w:val="nil"/>
              <w:bottom w:val="single" w:color="auto" w:sz="4" w:space="0"/>
              <w:right w:val="single" w:color="auto" w:sz="4" w:space="0"/>
            </w:tcBorders>
            <w:vAlign w:val="center"/>
          </w:tcPr>
          <w:p w14:paraId="21CB1BF0">
            <w:pPr>
              <w:jc w:val="center"/>
              <w:rPr>
                <w:rFonts w:ascii="宋体" w:hAnsi="宋体"/>
                <w:b/>
                <w:color w:val="000000"/>
                <w:kern w:val="0"/>
                <w:szCs w:val="21"/>
              </w:rPr>
            </w:pPr>
            <w:r>
              <w:rPr>
                <w:rFonts w:ascii="宋体" w:hAnsi="宋体"/>
                <w:b/>
                <w:color w:val="000000"/>
                <w:kern w:val="0"/>
                <w:szCs w:val="21"/>
              </w:rPr>
              <w:t>总计</w:t>
            </w:r>
          </w:p>
        </w:tc>
      </w:tr>
      <w:tr w14:paraId="14ABFCB8">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1CFF7563">
            <w:pPr>
              <w:jc w:val="center"/>
              <w:rPr>
                <w:rFonts w:ascii="宋体" w:hAnsi="宋体"/>
                <w:color w:val="000000"/>
                <w:kern w:val="0"/>
                <w:szCs w:val="21"/>
              </w:rPr>
            </w:pPr>
            <w:r>
              <w:rPr>
                <w:rFonts w:ascii="宋体" w:hAnsi="宋体"/>
                <w:color w:val="000000"/>
                <w:kern w:val="0"/>
                <w:szCs w:val="21"/>
              </w:rPr>
              <w:t>车湖村</w:t>
            </w:r>
          </w:p>
        </w:tc>
        <w:tc>
          <w:tcPr>
            <w:tcW w:w="777" w:type="dxa"/>
            <w:tcBorders>
              <w:top w:val="nil"/>
              <w:left w:val="nil"/>
              <w:bottom w:val="single" w:color="auto" w:sz="4" w:space="0"/>
              <w:right w:val="single" w:color="auto" w:sz="4" w:space="0"/>
            </w:tcBorders>
            <w:vAlign w:val="center"/>
          </w:tcPr>
          <w:p w14:paraId="63A2C387">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1B4FF46F">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565FF58C">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654FA72B">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55DC7E01">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72A4D9C6">
            <w:pPr>
              <w:jc w:val="center"/>
              <w:rPr>
                <w:rFonts w:eastAsia="仿宋_GB2312"/>
                <w:color w:val="000000"/>
                <w:kern w:val="0"/>
                <w:sz w:val="18"/>
                <w:szCs w:val="22"/>
              </w:rPr>
            </w:pPr>
            <w:r>
              <w:rPr>
                <w:rFonts w:eastAsia="仿宋_GB2312"/>
                <w:color w:val="000000"/>
                <w:kern w:val="0"/>
                <w:sz w:val="18"/>
                <w:szCs w:val="22"/>
              </w:rPr>
              <w:t>2.32</w:t>
            </w:r>
          </w:p>
        </w:tc>
        <w:tc>
          <w:tcPr>
            <w:tcW w:w="709" w:type="dxa"/>
            <w:tcBorders>
              <w:top w:val="nil"/>
              <w:left w:val="nil"/>
              <w:bottom w:val="single" w:color="auto" w:sz="4" w:space="0"/>
              <w:right w:val="single" w:color="auto" w:sz="4" w:space="0"/>
            </w:tcBorders>
            <w:vAlign w:val="center"/>
          </w:tcPr>
          <w:p w14:paraId="05664125">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6B221DF">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6DE31C18">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1973DC3">
            <w:pPr>
              <w:jc w:val="center"/>
              <w:rPr>
                <w:rFonts w:eastAsia="仿宋_GB2312"/>
                <w:color w:val="000000"/>
                <w:kern w:val="0"/>
                <w:sz w:val="18"/>
                <w:szCs w:val="22"/>
              </w:rPr>
            </w:pPr>
            <w:r>
              <w:rPr>
                <w:rFonts w:eastAsia="仿宋_GB2312"/>
                <w:color w:val="000000"/>
                <w:kern w:val="0"/>
                <w:sz w:val="18"/>
                <w:szCs w:val="22"/>
              </w:rPr>
              <w:t>2.32</w:t>
            </w:r>
          </w:p>
        </w:tc>
      </w:tr>
      <w:tr w14:paraId="6A76DDBE">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3FB659FE">
            <w:pPr>
              <w:jc w:val="center"/>
              <w:rPr>
                <w:rFonts w:ascii="宋体" w:hAnsi="宋体"/>
                <w:color w:val="000000"/>
                <w:kern w:val="0"/>
                <w:szCs w:val="21"/>
              </w:rPr>
            </w:pPr>
            <w:r>
              <w:rPr>
                <w:rFonts w:ascii="宋体" w:hAnsi="宋体"/>
                <w:color w:val="000000"/>
                <w:kern w:val="0"/>
                <w:szCs w:val="21"/>
              </w:rPr>
              <w:t>陈镇村</w:t>
            </w:r>
          </w:p>
        </w:tc>
        <w:tc>
          <w:tcPr>
            <w:tcW w:w="777" w:type="dxa"/>
            <w:tcBorders>
              <w:top w:val="nil"/>
              <w:left w:val="nil"/>
              <w:bottom w:val="single" w:color="auto" w:sz="4" w:space="0"/>
              <w:right w:val="single" w:color="auto" w:sz="4" w:space="0"/>
            </w:tcBorders>
            <w:vAlign w:val="center"/>
          </w:tcPr>
          <w:p w14:paraId="014EB3E3">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174D7741">
            <w:pPr>
              <w:jc w:val="center"/>
              <w:rPr>
                <w:rFonts w:eastAsia="仿宋_GB2312"/>
                <w:color w:val="000000"/>
                <w:kern w:val="0"/>
                <w:sz w:val="18"/>
                <w:szCs w:val="22"/>
              </w:rPr>
            </w:pPr>
            <w:r>
              <w:rPr>
                <w:rFonts w:eastAsia="仿宋_GB2312"/>
                <w:color w:val="000000"/>
                <w:kern w:val="0"/>
                <w:sz w:val="18"/>
                <w:szCs w:val="22"/>
              </w:rPr>
              <w:t>6.57</w:t>
            </w:r>
          </w:p>
        </w:tc>
        <w:tc>
          <w:tcPr>
            <w:tcW w:w="640" w:type="dxa"/>
            <w:tcBorders>
              <w:top w:val="nil"/>
              <w:left w:val="nil"/>
              <w:bottom w:val="single" w:color="auto" w:sz="4" w:space="0"/>
              <w:right w:val="single" w:color="auto" w:sz="4" w:space="0"/>
            </w:tcBorders>
            <w:vAlign w:val="center"/>
          </w:tcPr>
          <w:p w14:paraId="3932B3CA">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6DC44A29">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243D8F47">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137BBA9D">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465497B6">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AB2132B">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0C83C868">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11218905">
            <w:pPr>
              <w:jc w:val="center"/>
              <w:rPr>
                <w:rFonts w:eastAsia="仿宋_GB2312"/>
                <w:color w:val="000000"/>
                <w:kern w:val="0"/>
                <w:sz w:val="18"/>
                <w:szCs w:val="22"/>
              </w:rPr>
            </w:pPr>
            <w:r>
              <w:rPr>
                <w:rFonts w:eastAsia="仿宋_GB2312"/>
                <w:color w:val="000000"/>
                <w:kern w:val="0"/>
                <w:sz w:val="18"/>
                <w:szCs w:val="22"/>
              </w:rPr>
              <w:t>6.57</w:t>
            </w:r>
          </w:p>
        </w:tc>
      </w:tr>
      <w:tr w14:paraId="723AFFED">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5FF9E937">
            <w:pPr>
              <w:jc w:val="center"/>
              <w:rPr>
                <w:rFonts w:ascii="宋体" w:hAnsi="宋体"/>
                <w:color w:val="000000"/>
                <w:kern w:val="0"/>
                <w:szCs w:val="21"/>
              </w:rPr>
            </w:pPr>
            <w:r>
              <w:rPr>
                <w:rFonts w:ascii="宋体" w:hAnsi="宋体"/>
                <w:color w:val="000000"/>
                <w:kern w:val="0"/>
                <w:szCs w:val="21"/>
              </w:rPr>
              <w:t>大雄村</w:t>
            </w:r>
          </w:p>
        </w:tc>
        <w:tc>
          <w:tcPr>
            <w:tcW w:w="777" w:type="dxa"/>
            <w:tcBorders>
              <w:top w:val="nil"/>
              <w:left w:val="nil"/>
              <w:bottom w:val="single" w:color="auto" w:sz="4" w:space="0"/>
              <w:right w:val="single" w:color="auto" w:sz="4" w:space="0"/>
            </w:tcBorders>
            <w:vAlign w:val="center"/>
          </w:tcPr>
          <w:p w14:paraId="0D14C373">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516BDBAA">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3267CDB3">
            <w:pPr>
              <w:jc w:val="center"/>
              <w:rPr>
                <w:rFonts w:eastAsia="仿宋_GB2312"/>
                <w:color w:val="000000"/>
                <w:kern w:val="0"/>
                <w:sz w:val="18"/>
                <w:szCs w:val="22"/>
              </w:rPr>
            </w:pPr>
            <w:r>
              <w:rPr>
                <w:rFonts w:eastAsia="仿宋_GB2312"/>
                <w:color w:val="000000"/>
                <w:kern w:val="0"/>
                <w:sz w:val="18"/>
                <w:szCs w:val="22"/>
              </w:rPr>
              <w:t>6.83</w:t>
            </w:r>
          </w:p>
        </w:tc>
        <w:tc>
          <w:tcPr>
            <w:tcW w:w="723" w:type="dxa"/>
            <w:tcBorders>
              <w:top w:val="nil"/>
              <w:left w:val="nil"/>
              <w:bottom w:val="single" w:color="auto" w:sz="4" w:space="0"/>
              <w:right w:val="single" w:color="auto" w:sz="4" w:space="0"/>
            </w:tcBorders>
            <w:vAlign w:val="center"/>
          </w:tcPr>
          <w:p w14:paraId="3D0AE2C7">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663A4AE0">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555D6ACB">
            <w:pPr>
              <w:jc w:val="center"/>
              <w:rPr>
                <w:rFonts w:eastAsia="仿宋_GB2312"/>
                <w:color w:val="000000"/>
                <w:kern w:val="0"/>
                <w:sz w:val="18"/>
                <w:szCs w:val="22"/>
              </w:rPr>
            </w:pPr>
            <w:r>
              <w:rPr>
                <w:rFonts w:eastAsia="仿宋_GB2312"/>
                <w:color w:val="000000"/>
                <w:kern w:val="0"/>
                <w:sz w:val="18"/>
                <w:szCs w:val="22"/>
              </w:rPr>
              <w:t>0.80</w:t>
            </w:r>
          </w:p>
        </w:tc>
        <w:tc>
          <w:tcPr>
            <w:tcW w:w="709" w:type="dxa"/>
            <w:tcBorders>
              <w:top w:val="nil"/>
              <w:left w:val="nil"/>
              <w:bottom w:val="single" w:color="auto" w:sz="4" w:space="0"/>
              <w:right w:val="single" w:color="auto" w:sz="4" w:space="0"/>
            </w:tcBorders>
            <w:vAlign w:val="center"/>
          </w:tcPr>
          <w:p w14:paraId="06425FF2">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4055FD56">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457DEC64">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F514944">
            <w:pPr>
              <w:jc w:val="center"/>
              <w:rPr>
                <w:rFonts w:eastAsia="仿宋_GB2312"/>
                <w:color w:val="000000"/>
                <w:kern w:val="0"/>
                <w:sz w:val="18"/>
                <w:szCs w:val="22"/>
              </w:rPr>
            </w:pPr>
            <w:r>
              <w:rPr>
                <w:rFonts w:eastAsia="仿宋_GB2312"/>
                <w:color w:val="000000"/>
                <w:kern w:val="0"/>
                <w:sz w:val="18"/>
                <w:szCs w:val="22"/>
              </w:rPr>
              <w:t>7.63</w:t>
            </w:r>
          </w:p>
        </w:tc>
      </w:tr>
      <w:tr w14:paraId="59A9B508">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09DCC491">
            <w:pPr>
              <w:jc w:val="center"/>
              <w:rPr>
                <w:rFonts w:ascii="宋体" w:hAnsi="宋体"/>
                <w:color w:val="000000"/>
                <w:kern w:val="0"/>
                <w:szCs w:val="21"/>
              </w:rPr>
            </w:pPr>
            <w:r>
              <w:rPr>
                <w:rFonts w:ascii="宋体" w:hAnsi="宋体"/>
                <w:color w:val="000000"/>
                <w:kern w:val="0"/>
                <w:szCs w:val="21"/>
              </w:rPr>
              <w:t>丁坳村</w:t>
            </w:r>
          </w:p>
        </w:tc>
        <w:tc>
          <w:tcPr>
            <w:tcW w:w="777" w:type="dxa"/>
            <w:tcBorders>
              <w:top w:val="nil"/>
              <w:left w:val="nil"/>
              <w:bottom w:val="single" w:color="auto" w:sz="4" w:space="0"/>
              <w:right w:val="single" w:color="auto" w:sz="4" w:space="0"/>
            </w:tcBorders>
            <w:vAlign w:val="center"/>
          </w:tcPr>
          <w:p w14:paraId="4849BDA5">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70C2209D">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728BBFF8">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73EBFF8C">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0E99D74F">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3C14566">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586D3D53">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6F620902">
            <w:pPr>
              <w:jc w:val="center"/>
              <w:rPr>
                <w:rFonts w:eastAsia="仿宋_GB2312"/>
                <w:color w:val="000000"/>
                <w:kern w:val="0"/>
                <w:sz w:val="18"/>
                <w:szCs w:val="22"/>
              </w:rPr>
            </w:pPr>
            <w:r>
              <w:rPr>
                <w:rFonts w:eastAsia="仿宋_GB2312"/>
                <w:color w:val="000000"/>
                <w:kern w:val="0"/>
                <w:sz w:val="18"/>
                <w:szCs w:val="22"/>
              </w:rPr>
              <w:t>7.85</w:t>
            </w:r>
          </w:p>
        </w:tc>
        <w:tc>
          <w:tcPr>
            <w:tcW w:w="708" w:type="dxa"/>
            <w:tcBorders>
              <w:top w:val="nil"/>
              <w:left w:val="nil"/>
              <w:bottom w:val="single" w:color="auto" w:sz="4" w:space="0"/>
              <w:right w:val="single" w:color="auto" w:sz="4" w:space="0"/>
            </w:tcBorders>
            <w:vAlign w:val="center"/>
          </w:tcPr>
          <w:p w14:paraId="1EC2B68A">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EF351CE">
            <w:pPr>
              <w:jc w:val="center"/>
              <w:rPr>
                <w:rFonts w:eastAsia="仿宋_GB2312"/>
                <w:color w:val="000000"/>
                <w:kern w:val="0"/>
                <w:sz w:val="18"/>
                <w:szCs w:val="22"/>
              </w:rPr>
            </w:pPr>
            <w:r>
              <w:rPr>
                <w:rFonts w:eastAsia="仿宋_GB2312"/>
                <w:color w:val="000000"/>
                <w:kern w:val="0"/>
                <w:sz w:val="18"/>
                <w:szCs w:val="22"/>
              </w:rPr>
              <w:t>7.85</w:t>
            </w:r>
          </w:p>
        </w:tc>
      </w:tr>
      <w:tr w14:paraId="36C479CE">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5CA4EF7C">
            <w:pPr>
              <w:jc w:val="center"/>
              <w:rPr>
                <w:rFonts w:ascii="宋体" w:hAnsi="宋体"/>
                <w:color w:val="000000"/>
                <w:kern w:val="0"/>
                <w:szCs w:val="21"/>
              </w:rPr>
            </w:pPr>
            <w:r>
              <w:rPr>
                <w:rFonts w:ascii="宋体" w:hAnsi="宋体"/>
                <w:color w:val="000000"/>
                <w:kern w:val="0"/>
                <w:szCs w:val="21"/>
              </w:rPr>
              <w:t>东沟村</w:t>
            </w:r>
          </w:p>
        </w:tc>
        <w:tc>
          <w:tcPr>
            <w:tcW w:w="777" w:type="dxa"/>
            <w:tcBorders>
              <w:top w:val="nil"/>
              <w:left w:val="nil"/>
              <w:bottom w:val="single" w:color="auto" w:sz="4" w:space="0"/>
              <w:right w:val="single" w:color="auto" w:sz="4" w:space="0"/>
            </w:tcBorders>
            <w:vAlign w:val="center"/>
          </w:tcPr>
          <w:p w14:paraId="28EB88A8">
            <w:pPr>
              <w:jc w:val="center"/>
              <w:rPr>
                <w:rFonts w:eastAsia="仿宋_GB2312"/>
                <w:color w:val="000000"/>
                <w:kern w:val="0"/>
                <w:sz w:val="18"/>
                <w:szCs w:val="22"/>
              </w:rPr>
            </w:pPr>
            <w:r>
              <w:rPr>
                <w:rFonts w:eastAsia="仿宋_GB2312"/>
                <w:color w:val="000000"/>
                <w:kern w:val="0"/>
                <w:sz w:val="18"/>
                <w:szCs w:val="22"/>
              </w:rPr>
              <w:t>14.89</w:t>
            </w:r>
          </w:p>
        </w:tc>
        <w:tc>
          <w:tcPr>
            <w:tcW w:w="924" w:type="dxa"/>
            <w:tcBorders>
              <w:top w:val="nil"/>
              <w:left w:val="nil"/>
              <w:bottom w:val="single" w:color="auto" w:sz="4" w:space="0"/>
              <w:right w:val="single" w:color="auto" w:sz="4" w:space="0"/>
            </w:tcBorders>
            <w:vAlign w:val="center"/>
          </w:tcPr>
          <w:p w14:paraId="43D51E04">
            <w:pPr>
              <w:jc w:val="center"/>
              <w:rPr>
                <w:rFonts w:eastAsia="仿宋_GB2312"/>
                <w:color w:val="000000"/>
                <w:kern w:val="0"/>
                <w:sz w:val="18"/>
                <w:szCs w:val="22"/>
              </w:rPr>
            </w:pPr>
            <w:r>
              <w:rPr>
                <w:rFonts w:eastAsia="仿宋_GB2312"/>
                <w:color w:val="000000"/>
                <w:kern w:val="0"/>
                <w:sz w:val="18"/>
                <w:szCs w:val="22"/>
              </w:rPr>
              <w:t>72.25</w:t>
            </w:r>
          </w:p>
        </w:tc>
        <w:tc>
          <w:tcPr>
            <w:tcW w:w="640" w:type="dxa"/>
            <w:tcBorders>
              <w:top w:val="nil"/>
              <w:left w:val="nil"/>
              <w:bottom w:val="single" w:color="auto" w:sz="4" w:space="0"/>
              <w:right w:val="single" w:color="auto" w:sz="4" w:space="0"/>
            </w:tcBorders>
            <w:vAlign w:val="center"/>
          </w:tcPr>
          <w:p w14:paraId="7429C851">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39CFC662">
            <w:pPr>
              <w:jc w:val="center"/>
              <w:rPr>
                <w:rFonts w:eastAsia="仿宋_GB2312"/>
                <w:color w:val="000000"/>
                <w:kern w:val="0"/>
                <w:sz w:val="18"/>
                <w:szCs w:val="22"/>
              </w:rPr>
            </w:pPr>
            <w:r>
              <w:rPr>
                <w:rFonts w:eastAsia="仿宋_GB2312"/>
                <w:color w:val="000000"/>
                <w:kern w:val="0"/>
                <w:sz w:val="18"/>
                <w:szCs w:val="22"/>
              </w:rPr>
              <w:t>2.28</w:t>
            </w:r>
          </w:p>
        </w:tc>
        <w:tc>
          <w:tcPr>
            <w:tcW w:w="709" w:type="dxa"/>
            <w:tcBorders>
              <w:top w:val="nil"/>
              <w:left w:val="nil"/>
              <w:bottom w:val="single" w:color="auto" w:sz="4" w:space="0"/>
              <w:right w:val="single" w:color="auto" w:sz="4" w:space="0"/>
            </w:tcBorders>
            <w:vAlign w:val="center"/>
          </w:tcPr>
          <w:p w14:paraId="6D8A56F9">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368E11C">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9F25494">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CFA75D3">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1BED65BA">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A1891F5">
            <w:pPr>
              <w:jc w:val="center"/>
              <w:rPr>
                <w:rFonts w:eastAsia="仿宋_GB2312"/>
                <w:color w:val="000000"/>
                <w:kern w:val="0"/>
                <w:sz w:val="18"/>
                <w:szCs w:val="22"/>
              </w:rPr>
            </w:pPr>
            <w:r>
              <w:rPr>
                <w:rFonts w:eastAsia="仿宋_GB2312"/>
                <w:color w:val="000000"/>
                <w:kern w:val="0"/>
                <w:sz w:val="18"/>
                <w:szCs w:val="22"/>
              </w:rPr>
              <w:t>89.42</w:t>
            </w:r>
          </w:p>
        </w:tc>
      </w:tr>
      <w:tr w14:paraId="1D9E78D5">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4D59750F">
            <w:pPr>
              <w:jc w:val="center"/>
              <w:rPr>
                <w:rFonts w:ascii="宋体" w:hAnsi="宋体"/>
                <w:color w:val="000000"/>
                <w:kern w:val="0"/>
                <w:szCs w:val="21"/>
              </w:rPr>
            </w:pPr>
            <w:r>
              <w:rPr>
                <w:rFonts w:ascii="宋体" w:hAnsi="宋体"/>
                <w:color w:val="000000"/>
                <w:kern w:val="0"/>
                <w:szCs w:val="21"/>
              </w:rPr>
              <w:t>峒山村</w:t>
            </w:r>
          </w:p>
        </w:tc>
        <w:tc>
          <w:tcPr>
            <w:tcW w:w="777" w:type="dxa"/>
            <w:tcBorders>
              <w:top w:val="nil"/>
              <w:left w:val="nil"/>
              <w:bottom w:val="single" w:color="auto" w:sz="4" w:space="0"/>
              <w:right w:val="single" w:color="auto" w:sz="4" w:space="0"/>
            </w:tcBorders>
            <w:vAlign w:val="center"/>
          </w:tcPr>
          <w:p w14:paraId="3C5EA0F3">
            <w:pPr>
              <w:jc w:val="center"/>
              <w:rPr>
                <w:rFonts w:eastAsia="仿宋_GB2312"/>
                <w:color w:val="000000"/>
                <w:kern w:val="0"/>
                <w:sz w:val="18"/>
                <w:szCs w:val="22"/>
              </w:rPr>
            </w:pPr>
            <w:r>
              <w:rPr>
                <w:rFonts w:eastAsia="仿宋_GB2312"/>
                <w:color w:val="000000"/>
                <w:kern w:val="0"/>
                <w:sz w:val="18"/>
                <w:szCs w:val="22"/>
              </w:rPr>
              <w:t>154.18</w:t>
            </w:r>
          </w:p>
        </w:tc>
        <w:tc>
          <w:tcPr>
            <w:tcW w:w="924" w:type="dxa"/>
            <w:tcBorders>
              <w:top w:val="nil"/>
              <w:left w:val="nil"/>
              <w:bottom w:val="single" w:color="auto" w:sz="4" w:space="0"/>
              <w:right w:val="single" w:color="auto" w:sz="4" w:space="0"/>
            </w:tcBorders>
            <w:vAlign w:val="center"/>
          </w:tcPr>
          <w:p w14:paraId="044A2C07">
            <w:pPr>
              <w:jc w:val="center"/>
              <w:rPr>
                <w:rFonts w:eastAsia="仿宋_GB2312"/>
                <w:color w:val="000000"/>
                <w:kern w:val="0"/>
                <w:sz w:val="18"/>
                <w:szCs w:val="22"/>
              </w:rPr>
            </w:pPr>
            <w:r>
              <w:rPr>
                <w:rFonts w:eastAsia="仿宋_GB2312"/>
                <w:color w:val="000000"/>
                <w:kern w:val="0"/>
                <w:sz w:val="18"/>
                <w:szCs w:val="22"/>
              </w:rPr>
              <w:t>466.15</w:t>
            </w:r>
          </w:p>
        </w:tc>
        <w:tc>
          <w:tcPr>
            <w:tcW w:w="640" w:type="dxa"/>
            <w:tcBorders>
              <w:top w:val="nil"/>
              <w:left w:val="nil"/>
              <w:bottom w:val="single" w:color="auto" w:sz="4" w:space="0"/>
              <w:right w:val="single" w:color="auto" w:sz="4" w:space="0"/>
            </w:tcBorders>
            <w:vAlign w:val="center"/>
          </w:tcPr>
          <w:p w14:paraId="666A02FE">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0766EEB4">
            <w:pPr>
              <w:jc w:val="center"/>
              <w:rPr>
                <w:rFonts w:eastAsia="仿宋_GB2312"/>
                <w:color w:val="000000"/>
                <w:kern w:val="0"/>
                <w:sz w:val="18"/>
                <w:szCs w:val="22"/>
              </w:rPr>
            </w:pPr>
            <w:r>
              <w:rPr>
                <w:rFonts w:eastAsia="仿宋_GB2312"/>
                <w:color w:val="000000"/>
                <w:kern w:val="0"/>
                <w:sz w:val="18"/>
                <w:szCs w:val="22"/>
              </w:rPr>
              <w:t>6.40</w:t>
            </w:r>
          </w:p>
        </w:tc>
        <w:tc>
          <w:tcPr>
            <w:tcW w:w="709" w:type="dxa"/>
            <w:tcBorders>
              <w:top w:val="nil"/>
              <w:left w:val="nil"/>
              <w:bottom w:val="single" w:color="auto" w:sz="4" w:space="0"/>
              <w:right w:val="single" w:color="auto" w:sz="4" w:space="0"/>
            </w:tcBorders>
            <w:vAlign w:val="center"/>
          </w:tcPr>
          <w:p w14:paraId="1A14087F">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0DBFD85">
            <w:pPr>
              <w:jc w:val="center"/>
              <w:rPr>
                <w:rFonts w:eastAsia="仿宋_GB2312"/>
                <w:color w:val="000000"/>
                <w:kern w:val="0"/>
                <w:sz w:val="18"/>
                <w:szCs w:val="22"/>
              </w:rPr>
            </w:pPr>
            <w:r>
              <w:rPr>
                <w:rFonts w:eastAsia="仿宋_GB2312"/>
                <w:color w:val="000000"/>
                <w:kern w:val="0"/>
                <w:sz w:val="18"/>
                <w:szCs w:val="22"/>
              </w:rPr>
              <w:t>31.90</w:t>
            </w:r>
          </w:p>
        </w:tc>
        <w:tc>
          <w:tcPr>
            <w:tcW w:w="709" w:type="dxa"/>
            <w:tcBorders>
              <w:top w:val="nil"/>
              <w:left w:val="nil"/>
              <w:bottom w:val="single" w:color="auto" w:sz="4" w:space="0"/>
              <w:right w:val="single" w:color="auto" w:sz="4" w:space="0"/>
            </w:tcBorders>
            <w:vAlign w:val="center"/>
          </w:tcPr>
          <w:p w14:paraId="5CD1233E">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7D2ED93">
            <w:pPr>
              <w:jc w:val="center"/>
              <w:rPr>
                <w:rFonts w:eastAsia="仿宋_GB2312"/>
                <w:color w:val="000000"/>
                <w:kern w:val="0"/>
                <w:sz w:val="18"/>
                <w:szCs w:val="22"/>
              </w:rPr>
            </w:pPr>
            <w:r>
              <w:rPr>
                <w:rFonts w:eastAsia="仿宋_GB2312"/>
                <w:color w:val="000000"/>
                <w:kern w:val="0"/>
                <w:sz w:val="18"/>
                <w:szCs w:val="22"/>
              </w:rPr>
              <w:t>1.60</w:t>
            </w:r>
          </w:p>
        </w:tc>
        <w:tc>
          <w:tcPr>
            <w:tcW w:w="708" w:type="dxa"/>
            <w:tcBorders>
              <w:top w:val="nil"/>
              <w:left w:val="nil"/>
              <w:bottom w:val="single" w:color="auto" w:sz="4" w:space="0"/>
              <w:right w:val="single" w:color="auto" w:sz="4" w:space="0"/>
            </w:tcBorders>
            <w:vAlign w:val="center"/>
          </w:tcPr>
          <w:p w14:paraId="083B83E6">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03359A7">
            <w:pPr>
              <w:jc w:val="center"/>
              <w:rPr>
                <w:rFonts w:eastAsia="仿宋_GB2312"/>
                <w:color w:val="000000"/>
                <w:kern w:val="0"/>
                <w:sz w:val="18"/>
                <w:szCs w:val="22"/>
              </w:rPr>
            </w:pPr>
            <w:r>
              <w:rPr>
                <w:rFonts w:eastAsia="仿宋_GB2312"/>
                <w:color w:val="000000"/>
                <w:kern w:val="0"/>
                <w:sz w:val="18"/>
                <w:szCs w:val="22"/>
              </w:rPr>
              <w:t>660.23</w:t>
            </w:r>
          </w:p>
        </w:tc>
      </w:tr>
      <w:tr w14:paraId="223CD4F5">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46746B60">
            <w:pPr>
              <w:jc w:val="center"/>
              <w:rPr>
                <w:rFonts w:ascii="宋体" w:hAnsi="宋体"/>
                <w:color w:val="000000"/>
                <w:kern w:val="0"/>
                <w:szCs w:val="21"/>
              </w:rPr>
            </w:pPr>
            <w:r>
              <w:rPr>
                <w:rFonts w:ascii="宋体" w:hAnsi="宋体"/>
                <w:color w:val="000000"/>
                <w:kern w:val="0"/>
                <w:szCs w:val="21"/>
              </w:rPr>
              <w:t>鄂钢农场</w:t>
            </w:r>
          </w:p>
        </w:tc>
        <w:tc>
          <w:tcPr>
            <w:tcW w:w="777" w:type="dxa"/>
            <w:tcBorders>
              <w:top w:val="nil"/>
              <w:left w:val="nil"/>
              <w:bottom w:val="single" w:color="auto" w:sz="4" w:space="0"/>
              <w:right w:val="single" w:color="auto" w:sz="4" w:space="0"/>
            </w:tcBorders>
            <w:vAlign w:val="center"/>
          </w:tcPr>
          <w:p w14:paraId="52D79472">
            <w:pPr>
              <w:jc w:val="center"/>
              <w:rPr>
                <w:rFonts w:eastAsia="仿宋_GB2312"/>
                <w:color w:val="000000"/>
                <w:kern w:val="0"/>
                <w:sz w:val="18"/>
                <w:szCs w:val="22"/>
              </w:rPr>
            </w:pPr>
            <w:r>
              <w:rPr>
                <w:rFonts w:eastAsia="仿宋_GB2312"/>
                <w:color w:val="000000"/>
                <w:kern w:val="0"/>
                <w:sz w:val="18"/>
                <w:szCs w:val="22"/>
              </w:rPr>
              <w:t>20.40</w:t>
            </w:r>
          </w:p>
        </w:tc>
        <w:tc>
          <w:tcPr>
            <w:tcW w:w="924" w:type="dxa"/>
            <w:tcBorders>
              <w:top w:val="nil"/>
              <w:left w:val="nil"/>
              <w:bottom w:val="single" w:color="auto" w:sz="4" w:space="0"/>
              <w:right w:val="single" w:color="auto" w:sz="4" w:space="0"/>
            </w:tcBorders>
            <w:vAlign w:val="center"/>
          </w:tcPr>
          <w:p w14:paraId="319D88F3">
            <w:pPr>
              <w:jc w:val="center"/>
              <w:rPr>
                <w:rFonts w:eastAsia="仿宋_GB2312"/>
                <w:color w:val="000000"/>
                <w:kern w:val="0"/>
                <w:sz w:val="18"/>
                <w:szCs w:val="22"/>
              </w:rPr>
            </w:pPr>
            <w:r>
              <w:rPr>
                <w:rFonts w:eastAsia="仿宋_GB2312"/>
                <w:color w:val="000000"/>
                <w:kern w:val="0"/>
                <w:sz w:val="18"/>
                <w:szCs w:val="22"/>
              </w:rPr>
              <w:t>50.08</w:t>
            </w:r>
          </w:p>
        </w:tc>
        <w:tc>
          <w:tcPr>
            <w:tcW w:w="640" w:type="dxa"/>
            <w:tcBorders>
              <w:top w:val="nil"/>
              <w:left w:val="nil"/>
              <w:bottom w:val="single" w:color="auto" w:sz="4" w:space="0"/>
              <w:right w:val="single" w:color="auto" w:sz="4" w:space="0"/>
            </w:tcBorders>
            <w:vAlign w:val="center"/>
          </w:tcPr>
          <w:p w14:paraId="6303DEA6">
            <w:pPr>
              <w:jc w:val="center"/>
              <w:rPr>
                <w:rFonts w:eastAsia="仿宋_GB2312"/>
                <w:color w:val="000000"/>
                <w:kern w:val="0"/>
                <w:sz w:val="18"/>
                <w:szCs w:val="22"/>
              </w:rPr>
            </w:pPr>
            <w:r>
              <w:rPr>
                <w:rFonts w:eastAsia="仿宋_GB2312"/>
                <w:color w:val="000000"/>
                <w:kern w:val="0"/>
                <w:sz w:val="18"/>
                <w:szCs w:val="22"/>
              </w:rPr>
              <w:t>0.78</w:t>
            </w:r>
          </w:p>
        </w:tc>
        <w:tc>
          <w:tcPr>
            <w:tcW w:w="723" w:type="dxa"/>
            <w:tcBorders>
              <w:top w:val="nil"/>
              <w:left w:val="nil"/>
              <w:bottom w:val="single" w:color="auto" w:sz="4" w:space="0"/>
              <w:right w:val="single" w:color="auto" w:sz="4" w:space="0"/>
            </w:tcBorders>
            <w:vAlign w:val="center"/>
          </w:tcPr>
          <w:p w14:paraId="73DB8588">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6ACD63A">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2B981278">
            <w:pPr>
              <w:jc w:val="center"/>
              <w:rPr>
                <w:rFonts w:eastAsia="仿宋_GB2312"/>
                <w:color w:val="000000"/>
                <w:kern w:val="0"/>
                <w:sz w:val="18"/>
                <w:szCs w:val="22"/>
              </w:rPr>
            </w:pPr>
            <w:r>
              <w:rPr>
                <w:rFonts w:eastAsia="仿宋_GB2312"/>
                <w:color w:val="000000"/>
                <w:kern w:val="0"/>
                <w:sz w:val="18"/>
                <w:szCs w:val="22"/>
              </w:rPr>
              <w:t>61.07</w:t>
            </w:r>
          </w:p>
        </w:tc>
        <w:tc>
          <w:tcPr>
            <w:tcW w:w="709" w:type="dxa"/>
            <w:tcBorders>
              <w:top w:val="nil"/>
              <w:left w:val="nil"/>
              <w:bottom w:val="single" w:color="auto" w:sz="4" w:space="0"/>
              <w:right w:val="single" w:color="auto" w:sz="4" w:space="0"/>
            </w:tcBorders>
            <w:vAlign w:val="center"/>
          </w:tcPr>
          <w:p w14:paraId="37B21EA0">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080C9F13">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642276ED">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CF84B98">
            <w:pPr>
              <w:jc w:val="center"/>
              <w:rPr>
                <w:rFonts w:eastAsia="仿宋_GB2312"/>
                <w:color w:val="000000"/>
                <w:kern w:val="0"/>
                <w:sz w:val="18"/>
                <w:szCs w:val="22"/>
              </w:rPr>
            </w:pPr>
            <w:r>
              <w:rPr>
                <w:rFonts w:eastAsia="仿宋_GB2312"/>
                <w:color w:val="000000"/>
                <w:kern w:val="0"/>
                <w:sz w:val="18"/>
                <w:szCs w:val="22"/>
              </w:rPr>
              <w:t>132.33</w:t>
            </w:r>
          </w:p>
        </w:tc>
      </w:tr>
      <w:tr w14:paraId="74528A6B">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6D5DAD83">
            <w:pPr>
              <w:jc w:val="center"/>
              <w:rPr>
                <w:rFonts w:ascii="宋体" w:hAnsi="宋体"/>
                <w:color w:val="000000"/>
                <w:kern w:val="0"/>
                <w:szCs w:val="21"/>
              </w:rPr>
            </w:pPr>
            <w:r>
              <w:rPr>
                <w:rFonts w:hint="eastAsia" w:ascii="宋体" w:hAnsi="宋体"/>
                <w:color w:val="000000"/>
                <w:kern w:val="0"/>
                <w:szCs w:val="21"/>
              </w:rPr>
              <w:t>7</w:t>
            </w:r>
            <w:r>
              <w:rPr>
                <w:rFonts w:ascii="宋体" w:hAnsi="宋体"/>
                <w:color w:val="000000"/>
                <w:kern w:val="0"/>
                <w:szCs w:val="21"/>
              </w:rPr>
              <w:t>凤凰街办</w:t>
            </w:r>
          </w:p>
        </w:tc>
        <w:tc>
          <w:tcPr>
            <w:tcW w:w="777" w:type="dxa"/>
            <w:tcBorders>
              <w:top w:val="nil"/>
              <w:left w:val="nil"/>
              <w:bottom w:val="single" w:color="auto" w:sz="4" w:space="0"/>
              <w:right w:val="single" w:color="auto" w:sz="4" w:space="0"/>
            </w:tcBorders>
            <w:vAlign w:val="center"/>
          </w:tcPr>
          <w:p w14:paraId="4756BD4F">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64C9B9D1">
            <w:pPr>
              <w:jc w:val="center"/>
              <w:rPr>
                <w:rFonts w:eastAsia="仿宋_GB2312"/>
                <w:color w:val="000000"/>
                <w:kern w:val="0"/>
                <w:sz w:val="18"/>
                <w:szCs w:val="22"/>
              </w:rPr>
            </w:pPr>
            <w:r>
              <w:rPr>
                <w:rFonts w:eastAsia="仿宋_GB2312"/>
                <w:color w:val="000000"/>
                <w:kern w:val="0"/>
                <w:sz w:val="18"/>
                <w:szCs w:val="22"/>
              </w:rPr>
              <w:t>2.83</w:t>
            </w:r>
          </w:p>
        </w:tc>
        <w:tc>
          <w:tcPr>
            <w:tcW w:w="640" w:type="dxa"/>
            <w:tcBorders>
              <w:top w:val="nil"/>
              <w:left w:val="nil"/>
              <w:bottom w:val="single" w:color="auto" w:sz="4" w:space="0"/>
              <w:right w:val="single" w:color="auto" w:sz="4" w:space="0"/>
            </w:tcBorders>
            <w:vAlign w:val="center"/>
          </w:tcPr>
          <w:p w14:paraId="31D18BD1">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7278E632">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E0D975C">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2BFC87DF">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787AB67">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AA74765">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3A104A92">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0EB06C5E">
            <w:pPr>
              <w:jc w:val="center"/>
              <w:rPr>
                <w:rFonts w:eastAsia="仿宋_GB2312"/>
                <w:color w:val="000000"/>
                <w:kern w:val="0"/>
                <w:sz w:val="18"/>
                <w:szCs w:val="22"/>
              </w:rPr>
            </w:pPr>
            <w:r>
              <w:rPr>
                <w:rFonts w:eastAsia="仿宋_GB2312"/>
                <w:color w:val="000000"/>
                <w:kern w:val="0"/>
                <w:sz w:val="18"/>
                <w:szCs w:val="22"/>
              </w:rPr>
              <w:t>2.83</w:t>
            </w:r>
          </w:p>
        </w:tc>
      </w:tr>
      <w:tr w14:paraId="7EF7F23F">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7EF5A52D">
            <w:pPr>
              <w:jc w:val="center"/>
              <w:rPr>
                <w:rFonts w:ascii="宋体" w:hAnsi="宋体"/>
                <w:color w:val="000000"/>
                <w:kern w:val="0"/>
                <w:szCs w:val="21"/>
              </w:rPr>
            </w:pPr>
            <w:r>
              <w:rPr>
                <w:rFonts w:ascii="宋体" w:hAnsi="宋体"/>
                <w:color w:val="000000"/>
                <w:kern w:val="0"/>
                <w:szCs w:val="21"/>
              </w:rPr>
              <w:t>高沟村</w:t>
            </w:r>
          </w:p>
        </w:tc>
        <w:tc>
          <w:tcPr>
            <w:tcW w:w="777" w:type="dxa"/>
            <w:tcBorders>
              <w:top w:val="nil"/>
              <w:left w:val="nil"/>
              <w:bottom w:val="single" w:color="auto" w:sz="4" w:space="0"/>
              <w:right w:val="single" w:color="auto" w:sz="4" w:space="0"/>
            </w:tcBorders>
            <w:vAlign w:val="center"/>
          </w:tcPr>
          <w:p w14:paraId="50AC91E4">
            <w:pPr>
              <w:jc w:val="center"/>
              <w:rPr>
                <w:rFonts w:eastAsia="仿宋_GB2312"/>
                <w:color w:val="000000"/>
                <w:kern w:val="0"/>
                <w:sz w:val="18"/>
                <w:szCs w:val="22"/>
              </w:rPr>
            </w:pPr>
            <w:r>
              <w:rPr>
                <w:rFonts w:eastAsia="仿宋_GB2312"/>
                <w:color w:val="000000"/>
                <w:kern w:val="0"/>
                <w:sz w:val="18"/>
                <w:szCs w:val="22"/>
              </w:rPr>
              <w:t>26.16</w:t>
            </w:r>
          </w:p>
        </w:tc>
        <w:tc>
          <w:tcPr>
            <w:tcW w:w="924" w:type="dxa"/>
            <w:tcBorders>
              <w:top w:val="nil"/>
              <w:left w:val="nil"/>
              <w:bottom w:val="single" w:color="auto" w:sz="4" w:space="0"/>
              <w:right w:val="single" w:color="auto" w:sz="4" w:space="0"/>
            </w:tcBorders>
            <w:vAlign w:val="center"/>
          </w:tcPr>
          <w:p w14:paraId="51CA4805">
            <w:pPr>
              <w:jc w:val="center"/>
              <w:rPr>
                <w:rFonts w:eastAsia="仿宋_GB2312"/>
                <w:color w:val="000000"/>
                <w:kern w:val="0"/>
                <w:sz w:val="18"/>
                <w:szCs w:val="22"/>
              </w:rPr>
            </w:pPr>
            <w:r>
              <w:rPr>
                <w:rFonts w:eastAsia="仿宋_GB2312"/>
                <w:color w:val="000000"/>
                <w:kern w:val="0"/>
                <w:sz w:val="18"/>
                <w:szCs w:val="22"/>
              </w:rPr>
              <w:t>286.91</w:t>
            </w:r>
          </w:p>
        </w:tc>
        <w:tc>
          <w:tcPr>
            <w:tcW w:w="640" w:type="dxa"/>
            <w:tcBorders>
              <w:top w:val="nil"/>
              <w:left w:val="nil"/>
              <w:bottom w:val="single" w:color="auto" w:sz="4" w:space="0"/>
              <w:right w:val="single" w:color="auto" w:sz="4" w:space="0"/>
            </w:tcBorders>
            <w:vAlign w:val="center"/>
          </w:tcPr>
          <w:p w14:paraId="60A15E23">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42EBAD8E">
            <w:pPr>
              <w:jc w:val="center"/>
              <w:rPr>
                <w:rFonts w:eastAsia="仿宋_GB2312"/>
                <w:color w:val="000000"/>
                <w:kern w:val="0"/>
                <w:sz w:val="18"/>
                <w:szCs w:val="22"/>
              </w:rPr>
            </w:pPr>
            <w:r>
              <w:rPr>
                <w:rFonts w:eastAsia="仿宋_GB2312"/>
                <w:color w:val="000000"/>
                <w:kern w:val="0"/>
                <w:sz w:val="18"/>
                <w:szCs w:val="22"/>
              </w:rPr>
              <w:t>27.10</w:t>
            </w:r>
          </w:p>
        </w:tc>
        <w:tc>
          <w:tcPr>
            <w:tcW w:w="709" w:type="dxa"/>
            <w:tcBorders>
              <w:top w:val="nil"/>
              <w:left w:val="nil"/>
              <w:bottom w:val="single" w:color="auto" w:sz="4" w:space="0"/>
              <w:right w:val="single" w:color="auto" w:sz="4" w:space="0"/>
            </w:tcBorders>
            <w:vAlign w:val="center"/>
          </w:tcPr>
          <w:p w14:paraId="167C0B63">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000C94A">
            <w:pPr>
              <w:jc w:val="center"/>
              <w:rPr>
                <w:rFonts w:eastAsia="仿宋_GB2312"/>
                <w:color w:val="000000"/>
                <w:kern w:val="0"/>
                <w:sz w:val="18"/>
                <w:szCs w:val="22"/>
              </w:rPr>
            </w:pPr>
            <w:r>
              <w:rPr>
                <w:rFonts w:eastAsia="仿宋_GB2312"/>
                <w:color w:val="000000"/>
                <w:kern w:val="0"/>
                <w:sz w:val="18"/>
                <w:szCs w:val="22"/>
              </w:rPr>
              <w:t>3.54</w:t>
            </w:r>
          </w:p>
        </w:tc>
        <w:tc>
          <w:tcPr>
            <w:tcW w:w="709" w:type="dxa"/>
            <w:tcBorders>
              <w:top w:val="nil"/>
              <w:left w:val="nil"/>
              <w:bottom w:val="single" w:color="auto" w:sz="4" w:space="0"/>
              <w:right w:val="single" w:color="auto" w:sz="4" w:space="0"/>
            </w:tcBorders>
            <w:vAlign w:val="center"/>
          </w:tcPr>
          <w:p w14:paraId="32C2D925">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4ED82138">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556F71FE">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050DD91">
            <w:pPr>
              <w:jc w:val="center"/>
              <w:rPr>
                <w:rFonts w:eastAsia="仿宋_GB2312"/>
                <w:color w:val="000000"/>
                <w:kern w:val="0"/>
                <w:sz w:val="18"/>
                <w:szCs w:val="22"/>
              </w:rPr>
            </w:pPr>
            <w:r>
              <w:rPr>
                <w:rFonts w:eastAsia="仿宋_GB2312"/>
                <w:color w:val="000000"/>
                <w:kern w:val="0"/>
                <w:sz w:val="18"/>
                <w:szCs w:val="22"/>
              </w:rPr>
              <w:t>343.71</w:t>
            </w:r>
          </w:p>
        </w:tc>
      </w:tr>
      <w:tr w14:paraId="23D87C56">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18BB3741">
            <w:pPr>
              <w:jc w:val="center"/>
              <w:rPr>
                <w:rFonts w:ascii="宋体" w:hAnsi="宋体"/>
                <w:color w:val="000000"/>
                <w:kern w:val="0"/>
                <w:szCs w:val="21"/>
              </w:rPr>
            </w:pPr>
            <w:r>
              <w:rPr>
                <w:rFonts w:ascii="宋体" w:hAnsi="宋体"/>
                <w:color w:val="000000"/>
                <w:kern w:val="0"/>
                <w:szCs w:val="21"/>
              </w:rPr>
              <w:t>古塘村</w:t>
            </w:r>
          </w:p>
        </w:tc>
        <w:tc>
          <w:tcPr>
            <w:tcW w:w="777" w:type="dxa"/>
            <w:tcBorders>
              <w:top w:val="nil"/>
              <w:left w:val="nil"/>
              <w:bottom w:val="single" w:color="auto" w:sz="4" w:space="0"/>
              <w:right w:val="single" w:color="auto" w:sz="4" w:space="0"/>
            </w:tcBorders>
            <w:vAlign w:val="center"/>
          </w:tcPr>
          <w:p w14:paraId="08444A1B">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15782CBB">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44826AD5">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3ACF005D">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32D8B57B">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3B34ADC5">
            <w:pPr>
              <w:jc w:val="center"/>
              <w:rPr>
                <w:rFonts w:eastAsia="仿宋_GB2312"/>
                <w:color w:val="000000"/>
                <w:kern w:val="0"/>
                <w:sz w:val="18"/>
                <w:szCs w:val="22"/>
              </w:rPr>
            </w:pPr>
            <w:r>
              <w:rPr>
                <w:rFonts w:eastAsia="仿宋_GB2312"/>
                <w:color w:val="000000"/>
                <w:kern w:val="0"/>
                <w:sz w:val="18"/>
                <w:szCs w:val="22"/>
              </w:rPr>
              <w:t>62.86</w:t>
            </w:r>
          </w:p>
        </w:tc>
        <w:tc>
          <w:tcPr>
            <w:tcW w:w="709" w:type="dxa"/>
            <w:tcBorders>
              <w:top w:val="nil"/>
              <w:left w:val="nil"/>
              <w:bottom w:val="single" w:color="auto" w:sz="4" w:space="0"/>
              <w:right w:val="single" w:color="auto" w:sz="4" w:space="0"/>
            </w:tcBorders>
            <w:vAlign w:val="center"/>
          </w:tcPr>
          <w:p w14:paraId="04135812">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14AB2EB">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2EB3F77C">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AE7DD53">
            <w:pPr>
              <w:jc w:val="center"/>
              <w:rPr>
                <w:rFonts w:eastAsia="仿宋_GB2312"/>
                <w:color w:val="000000"/>
                <w:kern w:val="0"/>
                <w:sz w:val="18"/>
                <w:szCs w:val="22"/>
              </w:rPr>
            </w:pPr>
            <w:r>
              <w:rPr>
                <w:rFonts w:eastAsia="仿宋_GB2312"/>
                <w:color w:val="000000"/>
                <w:kern w:val="0"/>
                <w:sz w:val="18"/>
                <w:szCs w:val="22"/>
              </w:rPr>
              <w:t>62.86</w:t>
            </w:r>
          </w:p>
        </w:tc>
      </w:tr>
      <w:tr w14:paraId="2802D474">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6EFC853D">
            <w:pPr>
              <w:jc w:val="center"/>
              <w:rPr>
                <w:rFonts w:ascii="宋体" w:hAnsi="宋体"/>
                <w:color w:val="000000"/>
                <w:kern w:val="0"/>
                <w:szCs w:val="21"/>
              </w:rPr>
            </w:pPr>
            <w:r>
              <w:rPr>
                <w:rFonts w:ascii="宋体" w:hAnsi="宋体"/>
                <w:color w:val="000000"/>
                <w:kern w:val="0"/>
                <w:szCs w:val="21"/>
              </w:rPr>
              <w:t>红莲湖</w:t>
            </w:r>
          </w:p>
        </w:tc>
        <w:tc>
          <w:tcPr>
            <w:tcW w:w="777" w:type="dxa"/>
            <w:tcBorders>
              <w:top w:val="nil"/>
              <w:left w:val="nil"/>
              <w:bottom w:val="single" w:color="auto" w:sz="4" w:space="0"/>
              <w:right w:val="single" w:color="auto" w:sz="4" w:space="0"/>
            </w:tcBorders>
            <w:vAlign w:val="center"/>
          </w:tcPr>
          <w:p w14:paraId="41CDE44A">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2094DC5D">
            <w:pPr>
              <w:jc w:val="center"/>
              <w:rPr>
                <w:rFonts w:eastAsia="仿宋_GB2312"/>
                <w:color w:val="000000"/>
                <w:kern w:val="0"/>
                <w:sz w:val="18"/>
                <w:szCs w:val="22"/>
              </w:rPr>
            </w:pPr>
            <w:r>
              <w:rPr>
                <w:rFonts w:eastAsia="仿宋_GB2312"/>
                <w:color w:val="000000"/>
                <w:kern w:val="0"/>
                <w:sz w:val="18"/>
                <w:szCs w:val="22"/>
              </w:rPr>
              <w:t>0.26</w:t>
            </w:r>
          </w:p>
        </w:tc>
        <w:tc>
          <w:tcPr>
            <w:tcW w:w="640" w:type="dxa"/>
            <w:tcBorders>
              <w:top w:val="nil"/>
              <w:left w:val="nil"/>
              <w:bottom w:val="single" w:color="auto" w:sz="4" w:space="0"/>
              <w:right w:val="single" w:color="auto" w:sz="4" w:space="0"/>
            </w:tcBorders>
            <w:vAlign w:val="center"/>
          </w:tcPr>
          <w:p w14:paraId="0A756AC4">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45978090">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6E9153E7">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3CE73F7F">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64B895B7">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68EB9A22">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6E9AD1FA">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C953118">
            <w:pPr>
              <w:jc w:val="center"/>
              <w:rPr>
                <w:rFonts w:eastAsia="仿宋_GB2312"/>
                <w:color w:val="000000"/>
                <w:kern w:val="0"/>
                <w:sz w:val="18"/>
                <w:szCs w:val="22"/>
              </w:rPr>
            </w:pPr>
            <w:r>
              <w:rPr>
                <w:rFonts w:eastAsia="仿宋_GB2312"/>
                <w:color w:val="000000"/>
                <w:kern w:val="0"/>
                <w:sz w:val="18"/>
                <w:szCs w:val="22"/>
              </w:rPr>
              <w:t>0.26</w:t>
            </w:r>
          </w:p>
        </w:tc>
      </w:tr>
      <w:tr w14:paraId="72FA56A4">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2AC6F2CC">
            <w:pPr>
              <w:jc w:val="center"/>
              <w:rPr>
                <w:rFonts w:ascii="宋体" w:hAnsi="宋体"/>
                <w:color w:val="000000"/>
                <w:kern w:val="0"/>
                <w:szCs w:val="21"/>
              </w:rPr>
            </w:pPr>
            <w:r>
              <w:rPr>
                <w:rFonts w:ascii="宋体" w:hAnsi="宋体"/>
                <w:color w:val="000000"/>
                <w:kern w:val="0"/>
                <w:szCs w:val="21"/>
              </w:rPr>
              <w:t>花湖农工商总公司</w:t>
            </w:r>
          </w:p>
        </w:tc>
        <w:tc>
          <w:tcPr>
            <w:tcW w:w="777" w:type="dxa"/>
            <w:tcBorders>
              <w:top w:val="nil"/>
              <w:left w:val="nil"/>
              <w:bottom w:val="single" w:color="auto" w:sz="4" w:space="0"/>
              <w:right w:val="single" w:color="auto" w:sz="4" w:space="0"/>
            </w:tcBorders>
            <w:vAlign w:val="center"/>
          </w:tcPr>
          <w:p w14:paraId="691AE3C9">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2998A30B">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3CB4294B">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43D25D6B">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4F970699">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5FEE3166">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245799CB">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60D61CE1">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49AD217E">
            <w:pPr>
              <w:jc w:val="center"/>
              <w:rPr>
                <w:rFonts w:eastAsia="仿宋_GB2312"/>
                <w:color w:val="000000"/>
                <w:kern w:val="0"/>
                <w:sz w:val="18"/>
                <w:szCs w:val="22"/>
              </w:rPr>
            </w:pPr>
            <w:r>
              <w:rPr>
                <w:rFonts w:eastAsia="仿宋_GB2312"/>
                <w:color w:val="000000"/>
                <w:kern w:val="0"/>
                <w:sz w:val="18"/>
                <w:szCs w:val="22"/>
              </w:rPr>
              <w:t>11.76</w:t>
            </w:r>
          </w:p>
        </w:tc>
        <w:tc>
          <w:tcPr>
            <w:tcW w:w="851" w:type="dxa"/>
            <w:tcBorders>
              <w:top w:val="nil"/>
              <w:left w:val="nil"/>
              <w:bottom w:val="single" w:color="auto" w:sz="4" w:space="0"/>
              <w:right w:val="single" w:color="auto" w:sz="4" w:space="0"/>
            </w:tcBorders>
            <w:vAlign w:val="center"/>
          </w:tcPr>
          <w:p w14:paraId="5BD30AF9">
            <w:pPr>
              <w:jc w:val="center"/>
              <w:rPr>
                <w:rFonts w:eastAsia="仿宋_GB2312"/>
                <w:color w:val="000000"/>
                <w:kern w:val="0"/>
                <w:sz w:val="18"/>
                <w:szCs w:val="22"/>
              </w:rPr>
            </w:pPr>
            <w:r>
              <w:rPr>
                <w:rFonts w:eastAsia="仿宋_GB2312"/>
                <w:color w:val="000000"/>
                <w:kern w:val="0"/>
                <w:sz w:val="18"/>
                <w:szCs w:val="22"/>
              </w:rPr>
              <w:t>11.76</w:t>
            </w:r>
          </w:p>
        </w:tc>
      </w:tr>
      <w:tr w14:paraId="1A07B988">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4C6B3F50">
            <w:pPr>
              <w:jc w:val="center"/>
              <w:rPr>
                <w:rFonts w:ascii="宋体" w:hAnsi="宋体"/>
                <w:color w:val="000000"/>
                <w:kern w:val="0"/>
                <w:szCs w:val="21"/>
              </w:rPr>
            </w:pPr>
            <w:r>
              <w:rPr>
                <w:rFonts w:ascii="宋体" w:hAnsi="宋体"/>
                <w:color w:val="000000"/>
                <w:kern w:val="0"/>
                <w:szCs w:val="21"/>
              </w:rPr>
              <w:t>梁子居委会</w:t>
            </w:r>
          </w:p>
        </w:tc>
        <w:tc>
          <w:tcPr>
            <w:tcW w:w="777" w:type="dxa"/>
            <w:tcBorders>
              <w:top w:val="nil"/>
              <w:left w:val="nil"/>
              <w:bottom w:val="single" w:color="auto" w:sz="4" w:space="0"/>
              <w:right w:val="single" w:color="auto" w:sz="4" w:space="0"/>
            </w:tcBorders>
            <w:vAlign w:val="center"/>
          </w:tcPr>
          <w:p w14:paraId="06A848E7">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240549C9">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5E2B6E1E">
            <w:pPr>
              <w:jc w:val="center"/>
              <w:rPr>
                <w:rFonts w:eastAsia="仿宋_GB2312"/>
                <w:color w:val="000000"/>
                <w:kern w:val="0"/>
                <w:sz w:val="18"/>
                <w:szCs w:val="22"/>
              </w:rPr>
            </w:pPr>
            <w:r>
              <w:rPr>
                <w:rFonts w:eastAsia="仿宋_GB2312"/>
                <w:color w:val="000000"/>
                <w:kern w:val="0"/>
                <w:sz w:val="18"/>
                <w:szCs w:val="22"/>
              </w:rPr>
              <w:t>8.81</w:t>
            </w:r>
          </w:p>
        </w:tc>
        <w:tc>
          <w:tcPr>
            <w:tcW w:w="723" w:type="dxa"/>
            <w:tcBorders>
              <w:top w:val="nil"/>
              <w:left w:val="nil"/>
              <w:bottom w:val="single" w:color="auto" w:sz="4" w:space="0"/>
              <w:right w:val="single" w:color="auto" w:sz="4" w:space="0"/>
            </w:tcBorders>
            <w:vAlign w:val="center"/>
          </w:tcPr>
          <w:p w14:paraId="25B7F939">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32064A5">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F78A1FA">
            <w:pPr>
              <w:jc w:val="center"/>
              <w:rPr>
                <w:rFonts w:eastAsia="仿宋_GB2312"/>
                <w:color w:val="000000"/>
                <w:kern w:val="0"/>
                <w:sz w:val="18"/>
                <w:szCs w:val="22"/>
              </w:rPr>
            </w:pPr>
            <w:r>
              <w:rPr>
                <w:rFonts w:eastAsia="仿宋_GB2312"/>
                <w:color w:val="000000"/>
                <w:kern w:val="0"/>
                <w:sz w:val="18"/>
                <w:szCs w:val="22"/>
              </w:rPr>
              <w:t>14.71</w:t>
            </w:r>
          </w:p>
        </w:tc>
        <w:tc>
          <w:tcPr>
            <w:tcW w:w="709" w:type="dxa"/>
            <w:tcBorders>
              <w:top w:val="nil"/>
              <w:left w:val="nil"/>
              <w:bottom w:val="single" w:color="auto" w:sz="4" w:space="0"/>
              <w:right w:val="single" w:color="auto" w:sz="4" w:space="0"/>
            </w:tcBorders>
            <w:vAlign w:val="center"/>
          </w:tcPr>
          <w:p w14:paraId="6E73BDA1">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42EB635E">
            <w:pPr>
              <w:jc w:val="center"/>
              <w:rPr>
                <w:rFonts w:eastAsia="仿宋_GB2312"/>
                <w:color w:val="000000"/>
                <w:kern w:val="0"/>
                <w:sz w:val="18"/>
                <w:szCs w:val="22"/>
              </w:rPr>
            </w:pPr>
            <w:r>
              <w:rPr>
                <w:rFonts w:eastAsia="仿宋_GB2312"/>
                <w:color w:val="000000"/>
                <w:kern w:val="0"/>
                <w:sz w:val="18"/>
                <w:szCs w:val="22"/>
              </w:rPr>
              <w:t>0.39</w:t>
            </w:r>
          </w:p>
        </w:tc>
        <w:tc>
          <w:tcPr>
            <w:tcW w:w="708" w:type="dxa"/>
            <w:tcBorders>
              <w:top w:val="nil"/>
              <w:left w:val="nil"/>
              <w:bottom w:val="single" w:color="auto" w:sz="4" w:space="0"/>
              <w:right w:val="single" w:color="auto" w:sz="4" w:space="0"/>
            </w:tcBorders>
            <w:vAlign w:val="center"/>
          </w:tcPr>
          <w:p w14:paraId="1FB57E63">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60133B75">
            <w:pPr>
              <w:jc w:val="center"/>
              <w:rPr>
                <w:rFonts w:eastAsia="仿宋_GB2312"/>
                <w:color w:val="000000"/>
                <w:kern w:val="0"/>
                <w:sz w:val="18"/>
                <w:szCs w:val="22"/>
              </w:rPr>
            </w:pPr>
            <w:r>
              <w:rPr>
                <w:rFonts w:eastAsia="仿宋_GB2312"/>
                <w:color w:val="000000"/>
                <w:kern w:val="0"/>
                <w:sz w:val="18"/>
                <w:szCs w:val="22"/>
              </w:rPr>
              <w:t>23.91</w:t>
            </w:r>
          </w:p>
        </w:tc>
      </w:tr>
      <w:tr w14:paraId="4AA8B853">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0D8EC1A8">
            <w:pPr>
              <w:jc w:val="center"/>
              <w:rPr>
                <w:rFonts w:ascii="宋体" w:hAnsi="宋体"/>
                <w:color w:val="000000"/>
                <w:kern w:val="0"/>
                <w:szCs w:val="21"/>
              </w:rPr>
            </w:pPr>
            <w:r>
              <w:rPr>
                <w:rFonts w:ascii="宋体" w:hAnsi="宋体"/>
                <w:color w:val="000000"/>
                <w:kern w:val="0"/>
                <w:szCs w:val="21"/>
              </w:rPr>
              <w:t>林科所</w:t>
            </w:r>
          </w:p>
        </w:tc>
        <w:tc>
          <w:tcPr>
            <w:tcW w:w="777" w:type="dxa"/>
            <w:tcBorders>
              <w:top w:val="nil"/>
              <w:left w:val="nil"/>
              <w:bottom w:val="single" w:color="auto" w:sz="4" w:space="0"/>
              <w:right w:val="single" w:color="auto" w:sz="4" w:space="0"/>
            </w:tcBorders>
            <w:vAlign w:val="center"/>
          </w:tcPr>
          <w:p w14:paraId="30BC374B">
            <w:pPr>
              <w:jc w:val="center"/>
              <w:rPr>
                <w:rFonts w:eastAsia="仿宋_GB2312"/>
                <w:color w:val="000000"/>
                <w:kern w:val="0"/>
                <w:sz w:val="18"/>
                <w:szCs w:val="22"/>
              </w:rPr>
            </w:pPr>
            <w:r>
              <w:rPr>
                <w:rFonts w:eastAsia="仿宋_GB2312"/>
                <w:color w:val="000000"/>
                <w:kern w:val="0"/>
                <w:sz w:val="18"/>
                <w:szCs w:val="22"/>
              </w:rPr>
              <w:t>0.10</w:t>
            </w:r>
          </w:p>
        </w:tc>
        <w:tc>
          <w:tcPr>
            <w:tcW w:w="924" w:type="dxa"/>
            <w:tcBorders>
              <w:top w:val="nil"/>
              <w:left w:val="nil"/>
              <w:bottom w:val="single" w:color="auto" w:sz="4" w:space="0"/>
              <w:right w:val="single" w:color="auto" w:sz="4" w:space="0"/>
            </w:tcBorders>
            <w:vAlign w:val="center"/>
          </w:tcPr>
          <w:p w14:paraId="39B6AE3E">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73336A6C">
            <w:pPr>
              <w:jc w:val="center"/>
              <w:rPr>
                <w:rFonts w:eastAsia="仿宋_GB2312"/>
                <w:color w:val="000000"/>
                <w:kern w:val="0"/>
                <w:sz w:val="18"/>
                <w:szCs w:val="22"/>
              </w:rPr>
            </w:pPr>
            <w:r>
              <w:rPr>
                <w:rFonts w:eastAsia="仿宋_GB2312"/>
                <w:color w:val="000000"/>
                <w:kern w:val="0"/>
                <w:sz w:val="18"/>
                <w:szCs w:val="22"/>
              </w:rPr>
              <w:t>0.80</w:t>
            </w:r>
          </w:p>
        </w:tc>
        <w:tc>
          <w:tcPr>
            <w:tcW w:w="723" w:type="dxa"/>
            <w:tcBorders>
              <w:top w:val="nil"/>
              <w:left w:val="nil"/>
              <w:bottom w:val="single" w:color="auto" w:sz="4" w:space="0"/>
              <w:right w:val="single" w:color="auto" w:sz="4" w:space="0"/>
            </w:tcBorders>
            <w:vAlign w:val="center"/>
          </w:tcPr>
          <w:p w14:paraId="231AEFD9">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307AB2C4">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12294974">
            <w:pPr>
              <w:jc w:val="center"/>
              <w:rPr>
                <w:rFonts w:eastAsia="仿宋_GB2312"/>
                <w:color w:val="000000"/>
                <w:kern w:val="0"/>
                <w:sz w:val="18"/>
                <w:szCs w:val="22"/>
              </w:rPr>
            </w:pPr>
            <w:r>
              <w:rPr>
                <w:rFonts w:eastAsia="仿宋_GB2312"/>
                <w:color w:val="000000"/>
                <w:kern w:val="0"/>
                <w:sz w:val="18"/>
                <w:szCs w:val="22"/>
              </w:rPr>
              <w:t>22.81</w:t>
            </w:r>
          </w:p>
        </w:tc>
        <w:tc>
          <w:tcPr>
            <w:tcW w:w="709" w:type="dxa"/>
            <w:tcBorders>
              <w:top w:val="nil"/>
              <w:left w:val="nil"/>
              <w:bottom w:val="single" w:color="auto" w:sz="4" w:space="0"/>
              <w:right w:val="single" w:color="auto" w:sz="4" w:space="0"/>
            </w:tcBorders>
            <w:vAlign w:val="center"/>
          </w:tcPr>
          <w:p w14:paraId="19B9F440">
            <w:pPr>
              <w:jc w:val="center"/>
              <w:rPr>
                <w:rFonts w:eastAsia="仿宋_GB2312"/>
                <w:color w:val="000000"/>
                <w:kern w:val="0"/>
                <w:sz w:val="18"/>
                <w:szCs w:val="22"/>
              </w:rPr>
            </w:pPr>
            <w:r>
              <w:rPr>
                <w:rFonts w:eastAsia="仿宋_GB2312"/>
                <w:color w:val="000000"/>
                <w:kern w:val="0"/>
                <w:sz w:val="18"/>
                <w:szCs w:val="22"/>
              </w:rPr>
              <w:t>0.91</w:t>
            </w:r>
          </w:p>
        </w:tc>
        <w:tc>
          <w:tcPr>
            <w:tcW w:w="851" w:type="dxa"/>
            <w:tcBorders>
              <w:top w:val="nil"/>
              <w:left w:val="nil"/>
              <w:bottom w:val="single" w:color="auto" w:sz="4" w:space="0"/>
              <w:right w:val="single" w:color="auto" w:sz="4" w:space="0"/>
            </w:tcBorders>
            <w:vAlign w:val="center"/>
          </w:tcPr>
          <w:p w14:paraId="32D3D9AE">
            <w:pPr>
              <w:jc w:val="center"/>
              <w:rPr>
                <w:rFonts w:eastAsia="仿宋_GB2312"/>
                <w:color w:val="000000"/>
                <w:kern w:val="0"/>
                <w:sz w:val="18"/>
                <w:szCs w:val="22"/>
              </w:rPr>
            </w:pPr>
            <w:r>
              <w:rPr>
                <w:rFonts w:eastAsia="仿宋_GB2312"/>
                <w:color w:val="000000"/>
                <w:kern w:val="0"/>
                <w:sz w:val="18"/>
                <w:szCs w:val="22"/>
              </w:rPr>
              <w:t>5.85</w:t>
            </w:r>
          </w:p>
        </w:tc>
        <w:tc>
          <w:tcPr>
            <w:tcW w:w="708" w:type="dxa"/>
            <w:tcBorders>
              <w:top w:val="nil"/>
              <w:left w:val="nil"/>
              <w:bottom w:val="single" w:color="auto" w:sz="4" w:space="0"/>
              <w:right w:val="single" w:color="auto" w:sz="4" w:space="0"/>
            </w:tcBorders>
            <w:vAlign w:val="center"/>
          </w:tcPr>
          <w:p w14:paraId="352E7C11">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630EB417">
            <w:pPr>
              <w:jc w:val="center"/>
              <w:rPr>
                <w:rFonts w:eastAsia="仿宋_GB2312"/>
                <w:color w:val="000000"/>
                <w:kern w:val="0"/>
                <w:sz w:val="18"/>
                <w:szCs w:val="22"/>
              </w:rPr>
            </w:pPr>
            <w:r>
              <w:rPr>
                <w:rFonts w:eastAsia="仿宋_GB2312"/>
                <w:color w:val="000000"/>
                <w:kern w:val="0"/>
                <w:sz w:val="18"/>
                <w:szCs w:val="22"/>
              </w:rPr>
              <w:t>30.47</w:t>
            </w:r>
          </w:p>
        </w:tc>
      </w:tr>
      <w:tr w14:paraId="21F65063">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51B83B08">
            <w:pPr>
              <w:jc w:val="center"/>
              <w:rPr>
                <w:rFonts w:ascii="宋体" w:hAnsi="宋体"/>
                <w:color w:val="000000"/>
                <w:kern w:val="0"/>
                <w:szCs w:val="21"/>
              </w:rPr>
            </w:pPr>
            <w:r>
              <w:rPr>
                <w:rFonts w:ascii="宋体" w:hAnsi="宋体"/>
                <w:color w:val="000000"/>
                <w:kern w:val="0"/>
                <w:szCs w:val="21"/>
              </w:rPr>
              <w:t>楼下村</w:t>
            </w:r>
          </w:p>
        </w:tc>
        <w:tc>
          <w:tcPr>
            <w:tcW w:w="777" w:type="dxa"/>
            <w:tcBorders>
              <w:top w:val="nil"/>
              <w:left w:val="nil"/>
              <w:bottom w:val="single" w:color="auto" w:sz="4" w:space="0"/>
              <w:right w:val="single" w:color="auto" w:sz="4" w:space="0"/>
            </w:tcBorders>
            <w:vAlign w:val="center"/>
          </w:tcPr>
          <w:p w14:paraId="004E9754">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6764A3DD">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4856ED4C">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03ADBC9B">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59E285CD">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6D99C799">
            <w:pPr>
              <w:jc w:val="center"/>
              <w:rPr>
                <w:rFonts w:eastAsia="仿宋_GB2312"/>
                <w:color w:val="000000"/>
                <w:kern w:val="0"/>
                <w:sz w:val="18"/>
                <w:szCs w:val="22"/>
              </w:rPr>
            </w:pPr>
            <w:r>
              <w:rPr>
                <w:rFonts w:eastAsia="仿宋_GB2312"/>
                <w:color w:val="000000"/>
                <w:kern w:val="0"/>
                <w:sz w:val="18"/>
                <w:szCs w:val="22"/>
              </w:rPr>
              <w:t>7.87</w:t>
            </w:r>
          </w:p>
        </w:tc>
        <w:tc>
          <w:tcPr>
            <w:tcW w:w="709" w:type="dxa"/>
            <w:tcBorders>
              <w:top w:val="nil"/>
              <w:left w:val="nil"/>
              <w:bottom w:val="single" w:color="auto" w:sz="4" w:space="0"/>
              <w:right w:val="single" w:color="auto" w:sz="4" w:space="0"/>
            </w:tcBorders>
            <w:vAlign w:val="center"/>
          </w:tcPr>
          <w:p w14:paraId="0B030846">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0BA035ED">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7E279FB7">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79B5B64">
            <w:pPr>
              <w:jc w:val="center"/>
              <w:rPr>
                <w:rFonts w:eastAsia="仿宋_GB2312"/>
                <w:color w:val="000000"/>
                <w:kern w:val="0"/>
                <w:sz w:val="18"/>
                <w:szCs w:val="22"/>
              </w:rPr>
            </w:pPr>
            <w:r>
              <w:rPr>
                <w:rFonts w:eastAsia="仿宋_GB2312"/>
                <w:color w:val="000000"/>
                <w:kern w:val="0"/>
                <w:sz w:val="18"/>
                <w:szCs w:val="22"/>
              </w:rPr>
              <w:t>7.87</w:t>
            </w:r>
          </w:p>
        </w:tc>
      </w:tr>
      <w:tr w14:paraId="59EB3ADB">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2D5C33C7">
            <w:pPr>
              <w:jc w:val="center"/>
              <w:rPr>
                <w:rFonts w:ascii="宋体" w:hAnsi="宋体"/>
                <w:color w:val="000000"/>
                <w:kern w:val="0"/>
                <w:szCs w:val="21"/>
              </w:rPr>
            </w:pPr>
            <w:r>
              <w:rPr>
                <w:rFonts w:ascii="宋体" w:hAnsi="宋体"/>
                <w:color w:val="000000"/>
                <w:kern w:val="0"/>
                <w:szCs w:val="21"/>
              </w:rPr>
              <w:t>路口农场</w:t>
            </w:r>
          </w:p>
        </w:tc>
        <w:tc>
          <w:tcPr>
            <w:tcW w:w="777" w:type="dxa"/>
            <w:tcBorders>
              <w:top w:val="nil"/>
              <w:left w:val="nil"/>
              <w:bottom w:val="single" w:color="auto" w:sz="4" w:space="0"/>
              <w:right w:val="single" w:color="auto" w:sz="4" w:space="0"/>
            </w:tcBorders>
            <w:vAlign w:val="center"/>
          </w:tcPr>
          <w:p w14:paraId="5FE09F45">
            <w:pPr>
              <w:jc w:val="center"/>
              <w:rPr>
                <w:rFonts w:eastAsia="仿宋_GB2312"/>
                <w:color w:val="000000"/>
                <w:kern w:val="0"/>
                <w:sz w:val="18"/>
                <w:szCs w:val="22"/>
              </w:rPr>
            </w:pPr>
            <w:r>
              <w:rPr>
                <w:rFonts w:eastAsia="仿宋_GB2312"/>
                <w:color w:val="000000"/>
                <w:kern w:val="0"/>
                <w:sz w:val="18"/>
                <w:szCs w:val="22"/>
              </w:rPr>
              <w:t>31.37</w:t>
            </w:r>
          </w:p>
        </w:tc>
        <w:tc>
          <w:tcPr>
            <w:tcW w:w="924" w:type="dxa"/>
            <w:tcBorders>
              <w:top w:val="nil"/>
              <w:left w:val="nil"/>
              <w:bottom w:val="single" w:color="auto" w:sz="4" w:space="0"/>
              <w:right w:val="single" w:color="auto" w:sz="4" w:space="0"/>
            </w:tcBorders>
            <w:vAlign w:val="center"/>
          </w:tcPr>
          <w:p w14:paraId="6FA51378">
            <w:pPr>
              <w:jc w:val="center"/>
              <w:rPr>
                <w:rFonts w:eastAsia="仿宋_GB2312"/>
                <w:color w:val="000000"/>
                <w:kern w:val="0"/>
                <w:sz w:val="18"/>
                <w:szCs w:val="22"/>
              </w:rPr>
            </w:pPr>
            <w:r>
              <w:rPr>
                <w:rFonts w:eastAsia="仿宋_GB2312"/>
                <w:color w:val="000000"/>
                <w:kern w:val="0"/>
                <w:sz w:val="18"/>
                <w:szCs w:val="22"/>
              </w:rPr>
              <w:t>65.28</w:t>
            </w:r>
          </w:p>
        </w:tc>
        <w:tc>
          <w:tcPr>
            <w:tcW w:w="640" w:type="dxa"/>
            <w:tcBorders>
              <w:top w:val="nil"/>
              <w:left w:val="nil"/>
              <w:bottom w:val="single" w:color="auto" w:sz="4" w:space="0"/>
              <w:right w:val="single" w:color="auto" w:sz="4" w:space="0"/>
            </w:tcBorders>
            <w:vAlign w:val="center"/>
          </w:tcPr>
          <w:p w14:paraId="05B9CEAC">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63D07CA5">
            <w:pPr>
              <w:jc w:val="center"/>
              <w:rPr>
                <w:rFonts w:eastAsia="仿宋_GB2312"/>
                <w:color w:val="000000"/>
                <w:kern w:val="0"/>
                <w:sz w:val="18"/>
                <w:szCs w:val="22"/>
              </w:rPr>
            </w:pPr>
            <w:r>
              <w:rPr>
                <w:rFonts w:eastAsia="仿宋_GB2312"/>
                <w:color w:val="000000"/>
                <w:kern w:val="0"/>
                <w:sz w:val="18"/>
                <w:szCs w:val="22"/>
              </w:rPr>
              <w:t>2.37</w:t>
            </w:r>
          </w:p>
        </w:tc>
        <w:tc>
          <w:tcPr>
            <w:tcW w:w="709" w:type="dxa"/>
            <w:tcBorders>
              <w:top w:val="nil"/>
              <w:left w:val="nil"/>
              <w:bottom w:val="single" w:color="auto" w:sz="4" w:space="0"/>
              <w:right w:val="single" w:color="auto" w:sz="4" w:space="0"/>
            </w:tcBorders>
            <w:vAlign w:val="center"/>
          </w:tcPr>
          <w:p w14:paraId="64079A9D">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2FCDEC89">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1E9EC153">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FDA56C4">
            <w:pPr>
              <w:jc w:val="center"/>
              <w:rPr>
                <w:rFonts w:eastAsia="仿宋_GB2312"/>
                <w:color w:val="000000"/>
                <w:kern w:val="0"/>
                <w:sz w:val="18"/>
                <w:szCs w:val="22"/>
              </w:rPr>
            </w:pPr>
            <w:r>
              <w:rPr>
                <w:rFonts w:eastAsia="仿宋_GB2312"/>
                <w:color w:val="000000"/>
                <w:kern w:val="0"/>
                <w:sz w:val="18"/>
                <w:szCs w:val="22"/>
              </w:rPr>
              <w:t>0.69</w:t>
            </w:r>
          </w:p>
        </w:tc>
        <w:tc>
          <w:tcPr>
            <w:tcW w:w="708" w:type="dxa"/>
            <w:tcBorders>
              <w:top w:val="nil"/>
              <w:left w:val="nil"/>
              <w:bottom w:val="single" w:color="auto" w:sz="4" w:space="0"/>
              <w:right w:val="single" w:color="auto" w:sz="4" w:space="0"/>
            </w:tcBorders>
            <w:vAlign w:val="center"/>
          </w:tcPr>
          <w:p w14:paraId="1BD90D7C">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C3BE1C2">
            <w:pPr>
              <w:jc w:val="center"/>
              <w:rPr>
                <w:rFonts w:eastAsia="仿宋_GB2312"/>
                <w:color w:val="000000"/>
                <w:kern w:val="0"/>
                <w:sz w:val="18"/>
                <w:szCs w:val="22"/>
              </w:rPr>
            </w:pPr>
            <w:r>
              <w:rPr>
                <w:rFonts w:eastAsia="仿宋_GB2312"/>
                <w:color w:val="000000"/>
                <w:kern w:val="0"/>
                <w:sz w:val="18"/>
                <w:szCs w:val="22"/>
              </w:rPr>
              <w:t>99.71</w:t>
            </w:r>
          </w:p>
        </w:tc>
      </w:tr>
      <w:tr w14:paraId="03024263">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29E8086E">
            <w:pPr>
              <w:jc w:val="center"/>
              <w:rPr>
                <w:rFonts w:ascii="宋体" w:hAnsi="宋体"/>
                <w:color w:val="000000"/>
                <w:kern w:val="0"/>
                <w:szCs w:val="21"/>
              </w:rPr>
            </w:pPr>
            <w:r>
              <w:rPr>
                <w:rFonts w:ascii="宋体" w:hAnsi="宋体"/>
                <w:color w:val="000000"/>
                <w:kern w:val="0"/>
                <w:szCs w:val="21"/>
              </w:rPr>
              <w:t>马龙水库</w:t>
            </w:r>
          </w:p>
        </w:tc>
        <w:tc>
          <w:tcPr>
            <w:tcW w:w="777" w:type="dxa"/>
            <w:tcBorders>
              <w:top w:val="nil"/>
              <w:left w:val="nil"/>
              <w:bottom w:val="single" w:color="auto" w:sz="4" w:space="0"/>
              <w:right w:val="single" w:color="auto" w:sz="4" w:space="0"/>
            </w:tcBorders>
            <w:vAlign w:val="center"/>
          </w:tcPr>
          <w:p w14:paraId="7F41536B">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3BE04809">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6508A874">
            <w:pPr>
              <w:jc w:val="center"/>
              <w:rPr>
                <w:rFonts w:eastAsia="仿宋_GB2312"/>
                <w:color w:val="000000"/>
                <w:kern w:val="0"/>
                <w:sz w:val="18"/>
                <w:szCs w:val="22"/>
              </w:rPr>
            </w:pPr>
            <w:r>
              <w:rPr>
                <w:rFonts w:eastAsia="仿宋_GB2312"/>
                <w:color w:val="000000"/>
                <w:kern w:val="0"/>
                <w:sz w:val="18"/>
                <w:szCs w:val="22"/>
              </w:rPr>
              <w:t>0.66</w:t>
            </w:r>
          </w:p>
        </w:tc>
        <w:tc>
          <w:tcPr>
            <w:tcW w:w="723" w:type="dxa"/>
            <w:tcBorders>
              <w:top w:val="nil"/>
              <w:left w:val="nil"/>
              <w:bottom w:val="single" w:color="auto" w:sz="4" w:space="0"/>
              <w:right w:val="single" w:color="auto" w:sz="4" w:space="0"/>
            </w:tcBorders>
            <w:vAlign w:val="center"/>
          </w:tcPr>
          <w:p w14:paraId="3660DE20">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4042CE69">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BAFC968">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4AC268DA">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0212B8A">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08340567">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6E77913C">
            <w:pPr>
              <w:jc w:val="center"/>
              <w:rPr>
                <w:rFonts w:eastAsia="仿宋_GB2312"/>
                <w:color w:val="000000"/>
                <w:kern w:val="0"/>
                <w:sz w:val="18"/>
                <w:szCs w:val="22"/>
              </w:rPr>
            </w:pPr>
            <w:r>
              <w:rPr>
                <w:rFonts w:eastAsia="仿宋_GB2312"/>
                <w:color w:val="000000"/>
                <w:kern w:val="0"/>
                <w:sz w:val="18"/>
                <w:szCs w:val="22"/>
              </w:rPr>
              <w:t>0.66</w:t>
            </w:r>
          </w:p>
        </w:tc>
      </w:tr>
      <w:tr w14:paraId="0BD15E63">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26DECAED">
            <w:pPr>
              <w:jc w:val="center"/>
              <w:rPr>
                <w:rFonts w:ascii="宋体" w:hAnsi="宋体"/>
                <w:color w:val="000000"/>
                <w:kern w:val="0"/>
                <w:szCs w:val="21"/>
              </w:rPr>
            </w:pPr>
            <w:r>
              <w:rPr>
                <w:rFonts w:ascii="宋体" w:hAnsi="宋体"/>
                <w:color w:val="000000"/>
                <w:kern w:val="0"/>
                <w:szCs w:val="21"/>
              </w:rPr>
              <w:t>平石村</w:t>
            </w:r>
          </w:p>
        </w:tc>
        <w:tc>
          <w:tcPr>
            <w:tcW w:w="777" w:type="dxa"/>
            <w:tcBorders>
              <w:top w:val="nil"/>
              <w:left w:val="nil"/>
              <w:bottom w:val="single" w:color="auto" w:sz="4" w:space="0"/>
              <w:right w:val="single" w:color="auto" w:sz="4" w:space="0"/>
            </w:tcBorders>
            <w:vAlign w:val="center"/>
          </w:tcPr>
          <w:p w14:paraId="4F3819A7">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283675BA">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14225240">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1ABA95DA">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2506D7C4">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CF77B7C">
            <w:pPr>
              <w:jc w:val="center"/>
              <w:rPr>
                <w:rFonts w:eastAsia="仿宋_GB2312"/>
                <w:color w:val="000000"/>
                <w:kern w:val="0"/>
                <w:sz w:val="18"/>
                <w:szCs w:val="22"/>
              </w:rPr>
            </w:pPr>
            <w:r>
              <w:rPr>
                <w:rFonts w:eastAsia="仿宋_GB2312"/>
                <w:color w:val="000000"/>
                <w:kern w:val="0"/>
                <w:sz w:val="18"/>
                <w:szCs w:val="22"/>
              </w:rPr>
              <w:t>106.31</w:t>
            </w:r>
          </w:p>
        </w:tc>
        <w:tc>
          <w:tcPr>
            <w:tcW w:w="709" w:type="dxa"/>
            <w:tcBorders>
              <w:top w:val="nil"/>
              <w:left w:val="nil"/>
              <w:bottom w:val="single" w:color="auto" w:sz="4" w:space="0"/>
              <w:right w:val="single" w:color="auto" w:sz="4" w:space="0"/>
            </w:tcBorders>
            <w:vAlign w:val="center"/>
          </w:tcPr>
          <w:p w14:paraId="7A3C25D3">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273E160">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0DA56C45">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78C3F7D">
            <w:pPr>
              <w:jc w:val="center"/>
              <w:rPr>
                <w:rFonts w:eastAsia="仿宋_GB2312"/>
                <w:color w:val="000000"/>
                <w:kern w:val="0"/>
                <w:sz w:val="18"/>
                <w:szCs w:val="22"/>
              </w:rPr>
            </w:pPr>
            <w:r>
              <w:rPr>
                <w:rFonts w:eastAsia="仿宋_GB2312"/>
                <w:color w:val="000000"/>
                <w:kern w:val="0"/>
                <w:sz w:val="18"/>
                <w:szCs w:val="22"/>
              </w:rPr>
              <w:t>106.31</w:t>
            </w:r>
          </w:p>
        </w:tc>
      </w:tr>
      <w:tr w14:paraId="5EDF4779">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097C0EE5">
            <w:pPr>
              <w:jc w:val="center"/>
              <w:rPr>
                <w:rFonts w:ascii="宋体" w:hAnsi="宋体"/>
                <w:color w:val="000000"/>
                <w:kern w:val="0"/>
                <w:szCs w:val="21"/>
              </w:rPr>
            </w:pPr>
            <w:r>
              <w:rPr>
                <w:rFonts w:ascii="宋体" w:hAnsi="宋体"/>
                <w:color w:val="000000"/>
                <w:kern w:val="0"/>
                <w:szCs w:val="21"/>
              </w:rPr>
              <w:t>沙湾村</w:t>
            </w:r>
          </w:p>
        </w:tc>
        <w:tc>
          <w:tcPr>
            <w:tcW w:w="777" w:type="dxa"/>
            <w:tcBorders>
              <w:top w:val="nil"/>
              <w:left w:val="nil"/>
              <w:bottom w:val="single" w:color="auto" w:sz="4" w:space="0"/>
              <w:right w:val="single" w:color="auto" w:sz="4" w:space="0"/>
            </w:tcBorders>
            <w:vAlign w:val="center"/>
          </w:tcPr>
          <w:p w14:paraId="2A815078">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42F5431C">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2141CD74">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095E8610">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B355DE5">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5ABACFC">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075FC1C2">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15ED618">
            <w:pPr>
              <w:jc w:val="center"/>
              <w:rPr>
                <w:rFonts w:eastAsia="仿宋_GB2312"/>
                <w:color w:val="000000"/>
                <w:kern w:val="0"/>
                <w:sz w:val="18"/>
                <w:szCs w:val="22"/>
              </w:rPr>
            </w:pPr>
            <w:r>
              <w:rPr>
                <w:rFonts w:eastAsia="仿宋_GB2312"/>
                <w:color w:val="000000"/>
                <w:kern w:val="0"/>
                <w:sz w:val="18"/>
                <w:szCs w:val="22"/>
              </w:rPr>
              <w:t>0.55</w:t>
            </w:r>
          </w:p>
        </w:tc>
        <w:tc>
          <w:tcPr>
            <w:tcW w:w="708" w:type="dxa"/>
            <w:tcBorders>
              <w:top w:val="nil"/>
              <w:left w:val="nil"/>
              <w:bottom w:val="single" w:color="auto" w:sz="4" w:space="0"/>
              <w:right w:val="single" w:color="auto" w:sz="4" w:space="0"/>
            </w:tcBorders>
            <w:vAlign w:val="center"/>
          </w:tcPr>
          <w:p w14:paraId="1F9D7C0A">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FDB1F0A">
            <w:pPr>
              <w:jc w:val="center"/>
              <w:rPr>
                <w:rFonts w:eastAsia="仿宋_GB2312"/>
                <w:color w:val="000000"/>
                <w:kern w:val="0"/>
                <w:sz w:val="18"/>
                <w:szCs w:val="22"/>
              </w:rPr>
            </w:pPr>
            <w:r>
              <w:rPr>
                <w:rFonts w:eastAsia="仿宋_GB2312"/>
                <w:color w:val="000000"/>
                <w:kern w:val="0"/>
                <w:sz w:val="18"/>
                <w:szCs w:val="22"/>
              </w:rPr>
              <w:t>0.55</w:t>
            </w:r>
          </w:p>
        </w:tc>
      </w:tr>
      <w:tr w14:paraId="1C4F61E4">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51A88E27">
            <w:pPr>
              <w:jc w:val="center"/>
              <w:rPr>
                <w:rFonts w:ascii="宋体" w:hAnsi="宋体"/>
                <w:color w:val="000000"/>
                <w:kern w:val="0"/>
                <w:szCs w:val="21"/>
              </w:rPr>
            </w:pPr>
            <w:r>
              <w:rPr>
                <w:rFonts w:ascii="宋体" w:hAnsi="宋体"/>
                <w:color w:val="000000"/>
                <w:kern w:val="0"/>
                <w:szCs w:val="21"/>
              </w:rPr>
              <w:t>上鲁村</w:t>
            </w:r>
          </w:p>
        </w:tc>
        <w:tc>
          <w:tcPr>
            <w:tcW w:w="777" w:type="dxa"/>
            <w:tcBorders>
              <w:top w:val="nil"/>
              <w:left w:val="nil"/>
              <w:bottom w:val="single" w:color="auto" w:sz="4" w:space="0"/>
              <w:right w:val="single" w:color="auto" w:sz="4" w:space="0"/>
            </w:tcBorders>
            <w:vAlign w:val="center"/>
          </w:tcPr>
          <w:p w14:paraId="14FD57AB">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7A232C03">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1466E658">
            <w:pPr>
              <w:jc w:val="center"/>
              <w:rPr>
                <w:rFonts w:eastAsia="仿宋_GB2312"/>
                <w:color w:val="000000"/>
                <w:kern w:val="0"/>
                <w:sz w:val="18"/>
                <w:szCs w:val="22"/>
              </w:rPr>
            </w:pPr>
            <w:r>
              <w:rPr>
                <w:rFonts w:eastAsia="仿宋_GB2312"/>
                <w:color w:val="000000"/>
                <w:kern w:val="0"/>
                <w:sz w:val="18"/>
                <w:szCs w:val="22"/>
              </w:rPr>
              <w:t>0.13</w:t>
            </w:r>
          </w:p>
        </w:tc>
        <w:tc>
          <w:tcPr>
            <w:tcW w:w="723" w:type="dxa"/>
            <w:tcBorders>
              <w:top w:val="nil"/>
              <w:left w:val="nil"/>
              <w:bottom w:val="single" w:color="auto" w:sz="4" w:space="0"/>
              <w:right w:val="single" w:color="auto" w:sz="4" w:space="0"/>
            </w:tcBorders>
            <w:vAlign w:val="center"/>
          </w:tcPr>
          <w:p w14:paraId="74F30841">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5D496FF6">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7019ED93">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C446078">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438B8F6">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07B40353">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94A2AEF">
            <w:pPr>
              <w:jc w:val="center"/>
              <w:rPr>
                <w:rFonts w:eastAsia="仿宋_GB2312"/>
                <w:color w:val="000000"/>
                <w:kern w:val="0"/>
                <w:sz w:val="18"/>
                <w:szCs w:val="22"/>
              </w:rPr>
            </w:pPr>
            <w:r>
              <w:rPr>
                <w:rFonts w:eastAsia="仿宋_GB2312"/>
                <w:color w:val="000000"/>
                <w:kern w:val="0"/>
                <w:sz w:val="18"/>
                <w:szCs w:val="22"/>
              </w:rPr>
              <w:t>0.13</w:t>
            </w:r>
          </w:p>
        </w:tc>
      </w:tr>
      <w:tr w14:paraId="6B199E1B">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2D17127D">
            <w:pPr>
              <w:jc w:val="center"/>
              <w:rPr>
                <w:rFonts w:ascii="宋体" w:hAnsi="宋体"/>
                <w:color w:val="000000"/>
                <w:kern w:val="0"/>
                <w:szCs w:val="21"/>
              </w:rPr>
            </w:pPr>
            <w:r>
              <w:rPr>
                <w:rFonts w:ascii="宋体" w:hAnsi="宋体"/>
                <w:color w:val="000000"/>
                <w:kern w:val="0"/>
                <w:szCs w:val="21"/>
              </w:rPr>
              <w:t>省物探地质队</w:t>
            </w:r>
          </w:p>
        </w:tc>
        <w:tc>
          <w:tcPr>
            <w:tcW w:w="777" w:type="dxa"/>
            <w:tcBorders>
              <w:top w:val="nil"/>
              <w:left w:val="nil"/>
              <w:bottom w:val="single" w:color="auto" w:sz="4" w:space="0"/>
              <w:right w:val="single" w:color="auto" w:sz="4" w:space="0"/>
            </w:tcBorders>
            <w:vAlign w:val="center"/>
          </w:tcPr>
          <w:p w14:paraId="5531B579">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6BB6CB8D">
            <w:pPr>
              <w:jc w:val="center"/>
              <w:rPr>
                <w:rFonts w:eastAsia="仿宋_GB2312"/>
                <w:color w:val="000000"/>
                <w:kern w:val="0"/>
                <w:sz w:val="18"/>
                <w:szCs w:val="22"/>
              </w:rPr>
            </w:pPr>
            <w:r>
              <w:rPr>
                <w:rFonts w:eastAsia="仿宋_GB2312"/>
                <w:color w:val="000000"/>
                <w:kern w:val="0"/>
                <w:sz w:val="18"/>
                <w:szCs w:val="22"/>
              </w:rPr>
              <w:t>0.97</w:t>
            </w:r>
          </w:p>
        </w:tc>
        <w:tc>
          <w:tcPr>
            <w:tcW w:w="640" w:type="dxa"/>
            <w:tcBorders>
              <w:top w:val="nil"/>
              <w:left w:val="nil"/>
              <w:bottom w:val="single" w:color="auto" w:sz="4" w:space="0"/>
              <w:right w:val="single" w:color="auto" w:sz="4" w:space="0"/>
            </w:tcBorders>
            <w:vAlign w:val="center"/>
          </w:tcPr>
          <w:p w14:paraId="7ED17072">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249A3B2C">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6C154087">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625B4BDD">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7349BC8">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73DDD72">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4650A24B">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A51A46D">
            <w:pPr>
              <w:jc w:val="center"/>
              <w:rPr>
                <w:rFonts w:eastAsia="仿宋_GB2312"/>
                <w:color w:val="000000"/>
                <w:kern w:val="0"/>
                <w:sz w:val="18"/>
                <w:szCs w:val="22"/>
              </w:rPr>
            </w:pPr>
            <w:r>
              <w:rPr>
                <w:rFonts w:eastAsia="仿宋_GB2312"/>
                <w:color w:val="000000"/>
                <w:kern w:val="0"/>
                <w:sz w:val="18"/>
                <w:szCs w:val="22"/>
              </w:rPr>
              <w:t>0.97</w:t>
            </w:r>
          </w:p>
        </w:tc>
      </w:tr>
      <w:tr w14:paraId="18558558">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04182C95">
            <w:pPr>
              <w:jc w:val="center"/>
              <w:rPr>
                <w:rFonts w:ascii="宋体" w:hAnsi="宋体"/>
                <w:color w:val="000000"/>
                <w:kern w:val="0"/>
                <w:szCs w:val="21"/>
              </w:rPr>
            </w:pPr>
            <w:r>
              <w:rPr>
                <w:rFonts w:ascii="宋体" w:hAnsi="宋体"/>
                <w:color w:val="000000"/>
                <w:kern w:val="0"/>
                <w:szCs w:val="21"/>
              </w:rPr>
              <w:t>狮子口水库</w:t>
            </w:r>
          </w:p>
        </w:tc>
        <w:tc>
          <w:tcPr>
            <w:tcW w:w="777" w:type="dxa"/>
            <w:tcBorders>
              <w:top w:val="nil"/>
              <w:left w:val="nil"/>
              <w:bottom w:val="single" w:color="auto" w:sz="4" w:space="0"/>
              <w:right w:val="single" w:color="auto" w:sz="4" w:space="0"/>
            </w:tcBorders>
            <w:vAlign w:val="center"/>
          </w:tcPr>
          <w:p w14:paraId="716D6B9E">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0358B4CD">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6800ACF0">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73619105">
            <w:pPr>
              <w:jc w:val="center"/>
              <w:rPr>
                <w:rFonts w:eastAsia="仿宋_GB2312"/>
                <w:color w:val="000000"/>
                <w:kern w:val="0"/>
                <w:sz w:val="18"/>
                <w:szCs w:val="22"/>
              </w:rPr>
            </w:pPr>
            <w:r>
              <w:rPr>
                <w:rFonts w:eastAsia="仿宋_GB2312"/>
                <w:color w:val="000000"/>
                <w:kern w:val="0"/>
                <w:sz w:val="18"/>
                <w:szCs w:val="22"/>
              </w:rPr>
              <w:t>3.47</w:t>
            </w:r>
          </w:p>
        </w:tc>
        <w:tc>
          <w:tcPr>
            <w:tcW w:w="709" w:type="dxa"/>
            <w:tcBorders>
              <w:top w:val="nil"/>
              <w:left w:val="nil"/>
              <w:bottom w:val="single" w:color="auto" w:sz="4" w:space="0"/>
              <w:right w:val="single" w:color="auto" w:sz="4" w:space="0"/>
            </w:tcBorders>
            <w:vAlign w:val="center"/>
          </w:tcPr>
          <w:p w14:paraId="79A57699">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4BE1D288">
            <w:pPr>
              <w:jc w:val="center"/>
              <w:rPr>
                <w:rFonts w:eastAsia="仿宋_GB2312"/>
                <w:color w:val="000000"/>
                <w:kern w:val="0"/>
                <w:sz w:val="18"/>
                <w:szCs w:val="22"/>
              </w:rPr>
            </w:pPr>
            <w:r>
              <w:rPr>
                <w:rFonts w:eastAsia="仿宋_GB2312"/>
                <w:color w:val="000000"/>
                <w:kern w:val="0"/>
                <w:sz w:val="18"/>
                <w:szCs w:val="22"/>
              </w:rPr>
              <w:t>1.96</w:t>
            </w:r>
          </w:p>
        </w:tc>
        <w:tc>
          <w:tcPr>
            <w:tcW w:w="709" w:type="dxa"/>
            <w:tcBorders>
              <w:top w:val="nil"/>
              <w:left w:val="nil"/>
              <w:bottom w:val="single" w:color="auto" w:sz="4" w:space="0"/>
              <w:right w:val="single" w:color="auto" w:sz="4" w:space="0"/>
            </w:tcBorders>
            <w:vAlign w:val="center"/>
          </w:tcPr>
          <w:p w14:paraId="5DA45D03">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6F66180">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4511BAEC">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14E3C46D">
            <w:pPr>
              <w:jc w:val="center"/>
              <w:rPr>
                <w:rFonts w:eastAsia="仿宋_GB2312"/>
                <w:color w:val="000000"/>
                <w:kern w:val="0"/>
                <w:sz w:val="18"/>
                <w:szCs w:val="22"/>
              </w:rPr>
            </w:pPr>
            <w:r>
              <w:rPr>
                <w:rFonts w:eastAsia="仿宋_GB2312"/>
                <w:color w:val="000000"/>
                <w:kern w:val="0"/>
                <w:sz w:val="18"/>
                <w:szCs w:val="22"/>
              </w:rPr>
              <w:t>5.43</w:t>
            </w:r>
          </w:p>
        </w:tc>
      </w:tr>
      <w:tr w14:paraId="2401E669">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5B835099">
            <w:pPr>
              <w:jc w:val="center"/>
              <w:rPr>
                <w:rFonts w:ascii="宋体" w:hAnsi="宋体"/>
                <w:color w:val="000000"/>
                <w:kern w:val="0"/>
                <w:szCs w:val="21"/>
              </w:rPr>
            </w:pPr>
            <w:r>
              <w:rPr>
                <w:rFonts w:ascii="宋体" w:hAnsi="宋体"/>
                <w:color w:val="000000"/>
                <w:kern w:val="0"/>
                <w:szCs w:val="21"/>
              </w:rPr>
              <w:t>四海湖渔场</w:t>
            </w:r>
          </w:p>
        </w:tc>
        <w:tc>
          <w:tcPr>
            <w:tcW w:w="777" w:type="dxa"/>
            <w:tcBorders>
              <w:top w:val="nil"/>
              <w:left w:val="nil"/>
              <w:bottom w:val="single" w:color="auto" w:sz="4" w:space="0"/>
              <w:right w:val="single" w:color="auto" w:sz="4" w:space="0"/>
            </w:tcBorders>
            <w:vAlign w:val="center"/>
          </w:tcPr>
          <w:p w14:paraId="7B7C1505">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132859C3">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782CF99E">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47A0223C">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D42C54F">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F1188A1">
            <w:pPr>
              <w:jc w:val="center"/>
              <w:rPr>
                <w:rFonts w:eastAsia="仿宋_GB2312"/>
                <w:color w:val="000000"/>
                <w:kern w:val="0"/>
                <w:sz w:val="18"/>
                <w:szCs w:val="22"/>
              </w:rPr>
            </w:pPr>
            <w:r>
              <w:rPr>
                <w:rFonts w:eastAsia="仿宋_GB2312"/>
                <w:color w:val="000000"/>
                <w:kern w:val="0"/>
                <w:sz w:val="18"/>
                <w:szCs w:val="22"/>
              </w:rPr>
              <w:t>11.84</w:t>
            </w:r>
          </w:p>
        </w:tc>
        <w:tc>
          <w:tcPr>
            <w:tcW w:w="709" w:type="dxa"/>
            <w:tcBorders>
              <w:top w:val="nil"/>
              <w:left w:val="nil"/>
              <w:bottom w:val="single" w:color="auto" w:sz="4" w:space="0"/>
              <w:right w:val="single" w:color="auto" w:sz="4" w:space="0"/>
            </w:tcBorders>
            <w:vAlign w:val="center"/>
          </w:tcPr>
          <w:p w14:paraId="7C0D8A00">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CD927BD">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7552F8B9">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C43EE5F">
            <w:pPr>
              <w:jc w:val="center"/>
              <w:rPr>
                <w:rFonts w:eastAsia="仿宋_GB2312"/>
                <w:color w:val="000000"/>
                <w:kern w:val="0"/>
                <w:sz w:val="18"/>
                <w:szCs w:val="22"/>
              </w:rPr>
            </w:pPr>
            <w:r>
              <w:rPr>
                <w:rFonts w:eastAsia="仿宋_GB2312"/>
                <w:color w:val="000000"/>
                <w:kern w:val="0"/>
                <w:sz w:val="18"/>
                <w:szCs w:val="22"/>
              </w:rPr>
              <w:t>11.84</w:t>
            </w:r>
          </w:p>
        </w:tc>
      </w:tr>
      <w:tr w14:paraId="2BA8CEC7">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20CF1B53">
            <w:pPr>
              <w:jc w:val="center"/>
              <w:rPr>
                <w:rFonts w:ascii="宋体" w:hAnsi="宋体"/>
                <w:color w:val="000000"/>
                <w:kern w:val="0"/>
                <w:szCs w:val="21"/>
              </w:rPr>
            </w:pPr>
            <w:r>
              <w:rPr>
                <w:rFonts w:ascii="宋体" w:hAnsi="宋体"/>
                <w:color w:val="000000"/>
                <w:kern w:val="0"/>
                <w:szCs w:val="21"/>
              </w:rPr>
              <w:t>涂桥村</w:t>
            </w:r>
          </w:p>
        </w:tc>
        <w:tc>
          <w:tcPr>
            <w:tcW w:w="777" w:type="dxa"/>
            <w:tcBorders>
              <w:top w:val="nil"/>
              <w:left w:val="nil"/>
              <w:bottom w:val="single" w:color="auto" w:sz="4" w:space="0"/>
              <w:right w:val="single" w:color="auto" w:sz="4" w:space="0"/>
            </w:tcBorders>
            <w:vAlign w:val="center"/>
          </w:tcPr>
          <w:p w14:paraId="0DD03A15">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27649E02">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39AC91D5">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1D3DDEE1">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127017FE">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25B203A">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87CB067">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7F0D406">
            <w:pPr>
              <w:jc w:val="center"/>
              <w:rPr>
                <w:rFonts w:eastAsia="仿宋_GB2312"/>
                <w:color w:val="000000"/>
                <w:kern w:val="0"/>
                <w:sz w:val="18"/>
                <w:szCs w:val="22"/>
              </w:rPr>
            </w:pPr>
            <w:r>
              <w:rPr>
                <w:rFonts w:eastAsia="仿宋_GB2312"/>
                <w:color w:val="000000"/>
                <w:kern w:val="0"/>
                <w:sz w:val="18"/>
                <w:szCs w:val="22"/>
              </w:rPr>
              <w:t>7.34</w:t>
            </w:r>
          </w:p>
        </w:tc>
        <w:tc>
          <w:tcPr>
            <w:tcW w:w="708" w:type="dxa"/>
            <w:tcBorders>
              <w:top w:val="nil"/>
              <w:left w:val="nil"/>
              <w:bottom w:val="single" w:color="auto" w:sz="4" w:space="0"/>
              <w:right w:val="single" w:color="auto" w:sz="4" w:space="0"/>
            </w:tcBorders>
            <w:vAlign w:val="center"/>
          </w:tcPr>
          <w:p w14:paraId="05C4456E">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0E19DD5">
            <w:pPr>
              <w:jc w:val="center"/>
              <w:rPr>
                <w:rFonts w:eastAsia="仿宋_GB2312"/>
                <w:color w:val="000000"/>
                <w:kern w:val="0"/>
                <w:sz w:val="18"/>
                <w:szCs w:val="22"/>
              </w:rPr>
            </w:pPr>
            <w:r>
              <w:rPr>
                <w:rFonts w:eastAsia="仿宋_GB2312"/>
                <w:color w:val="000000"/>
                <w:kern w:val="0"/>
                <w:sz w:val="18"/>
                <w:szCs w:val="22"/>
              </w:rPr>
              <w:t>7.34</w:t>
            </w:r>
          </w:p>
        </w:tc>
      </w:tr>
      <w:tr w14:paraId="588E0833">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0841E9C6">
            <w:pPr>
              <w:jc w:val="center"/>
              <w:rPr>
                <w:rFonts w:ascii="宋体" w:hAnsi="宋体"/>
                <w:color w:val="000000"/>
                <w:kern w:val="0"/>
                <w:szCs w:val="21"/>
              </w:rPr>
            </w:pPr>
            <w:r>
              <w:rPr>
                <w:rFonts w:ascii="宋体" w:hAnsi="宋体"/>
                <w:color w:val="000000"/>
                <w:kern w:val="0"/>
                <w:szCs w:val="21"/>
              </w:rPr>
              <w:t>团山村</w:t>
            </w:r>
          </w:p>
        </w:tc>
        <w:tc>
          <w:tcPr>
            <w:tcW w:w="777" w:type="dxa"/>
            <w:tcBorders>
              <w:top w:val="nil"/>
              <w:left w:val="nil"/>
              <w:bottom w:val="single" w:color="auto" w:sz="4" w:space="0"/>
              <w:right w:val="single" w:color="auto" w:sz="4" w:space="0"/>
            </w:tcBorders>
            <w:vAlign w:val="center"/>
          </w:tcPr>
          <w:p w14:paraId="3806B68F">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26670CDF">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3AB9E199">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1F10F6EF">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1E79763">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616FFA8B">
            <w:pPr>
              <w:jc w:val="center"/>
              <w:rPr>
                <w:rFonts w:eastAsia="仿宋_GB2312"/>
                <w:color w:val="000000"/>
                <w:kern w:val="0"/>
                <w:sz w:val="18"/>
                <w:szCs w:val="22"/>
              </w:rPr>
            </w:pPr>
            <w:r>
              <w:rPr>
                <w:rFonts w:eastAsia="仿宋_GB2312"/>
                <w:color w:val="000000"/>
                <w:kern w:val="0"/>
                <w:sz w:val="18"/>
                <w:szCs w:val="22"/>
              </w:rPr>
              <w:t>41.29</w:t>
            </w:r>
          </w:p>
        </w:tc>
        <w:tc>
          <w:tcPr>
            <w:tcW w:w="709" w:type="dxa"/>
            <w:tcBorders>
              <w:top w:val="nil"/>
              <w:left w:val="nil"/>
              <w:bottom w:val="single" w:color="auto" w:sz="4" w:space="0"/>
              <w:right w:val="single" w:color="auto" w:sz="4" w:space="0"/>
            </w:tcBorders>
            <w:vAlign w:val="center"/>
          </w:tcPr>
          <w:p w14:paraId="0916C98D">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94BBA88">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2B093A50">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05932E70">
            <w:pPr>
              <w:jc w:val="center"/>
              <w:rPr>
                <w:rFonts w:eastAsia="仿宋_GB2312"/>
                <w:color w:val="000000"/>
                <w:kern w:val="0"/>
                <w:sz w:val="18"/>
                <w:szCs w:val="22"/>
              </w:rPr>
            </w:pPr>
            <w:r>
              <w:rPr>
                <w:rFonts w:eastAsia="仿宋_GB2312"/>
                <w:color w:val="000000"/>
                <w:kern w:val="0"/>
                <w:sz w:val="18"/>
                <w:szCs w:val="22"/>
              </w:rPr>
              <w:t>41.29</w:t>
            </w:r>
          </w:p>
        </w:tc>
      </w:tr>
      <w:tr w14:paraId="264CBE1B">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640AB9C1">
            <w:pPr>
              <w:jc w:val="center"/>
              <w:rPr>
                <w:rFonts w:ascii="宋体" w:hAnsi="宋体"/>
                <w:color w:val="000000"/>
                <w:kern w:val="0"/>
                <w:szCs w:val="21"/>
              </w:rPr>
            </w:pPr>
            <w:r>
              <w:rPr>
                <w:rFonts w:ascii="宋体" w:hAnsi="宋体"/>
                <w:color w:val="000000"/>
                <w:kern w:val="0"/>
                <w:szCs w:val="21"/>
              </w:rPr>
              <w:t>武四湖渔场</w:t>
            </w:r>
          </w:p>
        </w:tc>
        <w:tc>
          <w:tcPr>
            <w:tcW w:w="777" w:type="dxa"/>
            <w:tcBorders>
              <w:top w:val="nil"/>
              <w:left w:val="nil"/>
              <w:bottom w:val="single" w:color="auto" w:sz="4" w:space="0"/>
              <w:right w:val="single" w:color="auto" w:sz="4" w:space="0"/>
            </w:tcBorders>
            <w:vAlign w:val="center"/>
          </w:tcPr>
          <w:p w14:paraId="491060D2">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5B2626C0">
            <w:pPr>
              <w:jc w:val="center"/>
              <w:rPr>
                <w:rFonts w:eastAsia="仿宋_GB2312"/>
                <w:color w:val="000000"/>
                <w:kern w:val="0"/>
                <w:sz w:val="18"/>
                <w:szCs w:val="22"/>
              </w:rPr>
            </w:pPr>
            <w:r>
              <w:rPr>
                <w:rFonts w:eastAsia="仿宋_GB2312"/>
                <w:color w:val="000000"/>
                <w:kern w:val="0"/>
                <w:sz w:val="18"/>
                <w:szCs w:val="22"/>
              </w:rPr>
              <w:t>7.33</w:t>
            </w:r>
          </w:p>
        </w:tc>
        <w:tc>
          <w:tcPr>
            <w:tcW w:w="640" w:type="dxa"/>
            <w:tcBorders>
              <w:top w:val="nil"/>
              <w:left w:val="nil"/>
              <w:bottom w:val="single" w:color="auto" w:sz="4" w:space="0"/>
              <w:right w:val="single" w:color="auto" w:sz="4" w:space="0"/>
            </w:tcBorders>
            <w:vAlign w:val="center"/>
          </w:tcPr>
          <w:p w14:paraId="258CAA81">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57ACFD4A">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1C857812">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0EEB45D1">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6D46C9AF">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06138270">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0487F7DF">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6FE34A16">
            <w:pPr>
              <w:jc w:val="center"/>
              <w:rPr>
                <w:rFonts w:eastAsia="仿宋_GB2312"/>
                <w:color w:val="000000"/>
                <w:kern w:val="0"/>
                <w:sz w:val="18"/>
                <w:szCs w:val="22"/>
              </w:rPr>
            </w:pPr>
            <w:r>
              <w:rPr>
                <w:rFonts w:eastAsia="仿宋_GB2312"/>
                <w:color w:val="000000"/>
                <w:kern w:val="0"/>
                <w:sz w:val="18"/>
                <w:szCs w:val="22"/>
              </w:rPr>
              <w:t>7.33</w:t>
            </w:r>
          </w:p>
        </w:tc>
      </w:tr>
      <w:tr w14:paraId="5D05E9AD">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6C4125E6">
            <w:pPr>
              <w:jc w:val="center"/>
              <w:rPr>
                <w:rFonts w:ascii="宋体" w:hAnsi="宋体"/>
                <w:color w:val="000000"/>
                <w:kern w:val="0"/>
                <w:szCs w:val="21"/>
              </w:rPr>
            </w:pPr>
            <w:r>
              <w:rPr>
                <w:rFonts w:ascii="宋体" w:hAnsi="宋体"/>
                <w:color w:val="000000"/>
                <w:kern w:val="0"/>
                <w:szCs w:val="21"/>
              </w:rPr>
              <w:t>西山街办</w:t>
            </w:r>
          </w:p>
        </w:tc>
        <w:tc>
          <w:tcPr>
            <w:tcW w:w="777" w:type="dxa"/>
            <w:tcBorders>
              <w:top w:val="nil"/>
              <w:left w:val="nil"/>
              <w:bottom w:val="single" w:color="auto" w:sz="4" w:space="0"/>
              <w:right w:val="single" w:color="auto" w:sz="4" w:space="0"/>
            </w:tcBorders>
            <w:vAlign w:val="center"/>
          </w:tcPr>
          <w:p w14:paraId="2D61D954">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2ABABD46">
            <w:pPr>
              <w:jc w:val="center"/>
              <w:rPr>
                <w:rFonts w:eastAsia="仿宋_GB2312"/>
                <w:color w:val="000000"/>
                <w:kern w:val="0"/>
                <w:sz w:val="18"/>
                <w:szCs w:val="22"/>
              </w:rPr>
            </w:pPr>
            <w:r>
              <w:rPr>
                <w:rFonts w:eastAsia="仿宋_GB2312"/>
                <w:color w:val="000000"/>
                <w:kern w:val="0"/>
                <w:sz w:val="18"/>
                <w:szCs w:val="22"/>
              </w:rPr>
              <w:t>0.96</w:t>
            </w:r>
          </w:p>
        </w:tc>
        <w:tc>
          <w:tcPr>
            <w:tcW w:w="640" w:type="dxa"/>
            <w:tcBorders>
              <w:top w:val="nil"/>
              <w:left w:val="nil"/>
              <w:bottom w:val="single" w:color="auto" w:sz="4" w:space="0"/>
              <w:right w:val="single" w:color="auto" w:sz="4" w:space="0"/>
            </w:tcBorders>
            <w:vAlign w:val="center"/>
          </w:tcPr>
          <w:p w14:paraId="4A5E8DFE">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06ADC71B">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6E9EE77E">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3909921F">
            <w:pPr>
              <w:jc w:val="center"/>
              <w:rPr>
                <w:rFonts w:eastAsia="仿宋_GB2312"/>
                <w:color w:val="000000"/>
                <w:kern w:val="0"/>
                <w:sz w:val="18"/>
                <w:szCs w:val="22"/>
              </w:rPr>
            </w:pPr>
            <w:r>
              <w:rPr>
                <w:rFonts w:eastAsia="仿宋_GB2312"/>
                <w:color w:val="000000"/>
                <w:kern w:val="0"/>
                <w:sz w:val="18"/>
                <w:szCs w:val="22"/>
              </w:rPr>
              <w:t>47.94</w:t>
            </w:r>
          </w:p>
        </w:tc>
        <w:tc>
          <w:tcPr>
            <w:tcW w:w="709" w:type="dxa"/>
            <w:tcBorders>
              <w:top w:val="nil"/>
              <w:left w:val="nil"/>
              <w:bottom w:val="single" w:color="auto" w:sz="4" w:space="0"/>
              <w:right w:val="single" w:color="auto" w:sz="4" w:space="0"/>
            </w:tcBorders>
            <w:vAlign w:val="center"/>
          </w:tcPr>
          <w:p w14:paraId="2B5D11DF">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35BA7D2">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113C96C0">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4E139329">
            <w:pPr>
              <w:jc w:val="center"/>
              <w:rPr>
                <w:rFonts w:eastAsia="仿宋_GB2312"/>
                <w:color w:val="000000"/>
                <w:kern w:val="0"/>
                <w:sz w:val="18"/>
                <w:szCs w:val="22"/>
              </w:rPr>
            </w:pPr>
            <w:r>
              <w:rPr>
                <w:rFonts w:eastAsia="仿宋_GB2312"/>
                <w:color w:val="000000"/>
                <w:kern w:val="0"/>
                <w:sz w:val="18"/>
                <w:szCs w:val="22"/>
              </w:rPr>
              <w:t>48.90</w:t>
            </w:r>
          </w:p>
        </w:tc>
      </w:tr>
      <w:tr w14:paraId="2923AC3A">
        <w:tblPrEx>
          <w:tblCellMar>
            <w:top w:w="0" w:type="dxa"/>
            <w:left w:w="108" w:type="dxa"/>
            <w:bottom w:w="0" w:type="dxa"/>
            <w:right w:w="108" w:type="dxa"/>
          </w:tblCellMar>
        </w:tblPrEx>
        <w:trPr>
          <w:trHeight w:val="276" w:hRule="atLeast"/>
          <w:jc w:val="center"/>
        </w:trPr>
        <w:tc>
          <w:tcPr>
            <w:tcW w:w="1419" w:type="dxa"/>
            <w:tcBorders>
              <w:top w:val="single" w:color="auto" w:sz="4" w:space="0"/>
              <w:left w:val="single" w:color="auto" w:sz="4" w:space="0"/>
              <w:bottom w:val="single" w:color="auto" w:sz="4" w:space="0"/>
              <w:right w:val="single" w:color="auto" w:sz="4" w:space="0"/>
            </w:tcBorders>
            <w:vAlign w:val="center"/>
          </w:tcPr>
          <w:p w14:paraId="3B3D8104">
            <w:pPr>
              <w:jc w:val="center"/>
              <w:rPr>
                <w:rFonts w:ascii="宋体" w:hAnsi="宋体"/>
                <w:color w:val="000000"/>
                <w:kern w:val="0"/>
                <w:szCs w:val="21"/>
              </w:rPr>
            </w:pPr>
            <w:r>
              <w:rPr>
                <w:rFonts w:ascii="宋体" w:hAnsi="宋体"/>
                <w:color w:val="000000"/>
                <w:kern w:val="0"/>
                <w:szCs w:val="21"/>
              </w:rPr>
              <w:t>夏大湖原种场</w:t>
            </w:r>
          </w:p>
        </w:tc>
        <w:tc>
          <w:tcPr>
            <w:tcW w:w="777" w:type="dxa"/>
            <w:tcBorders>
              <w:top w:val="single" w:color="auto" w:sz="4" w:space="0"/>
              <w:left w:val="single" w:color="auto" w:sz="4" w:space="0"/>
              <w:bottom w:val="single" w:color="auto" w:sz="4" w:space="0"/>
              <w:right w:val="single" w:color="auto" w:sz="4" w:space="0"/>
            </w:tcBorders>
            <w:vAlign w:val="center"/>
          </w:tcPr>
          <w:p w14:paraId="18F000CD">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single" w:color="auto" w:sz="4" w:space="0"/>
              <w:left w:val="single" w:color="auto" w:sz="4" w:space="0"/>
              <w:bottom w:val="single" w:color="auto" w:sz="4" w:space="0"/>
              <w:right w:val="single" w:color="auto" w:sz="4" w:space="0"/>
            </w:tcBorders>
            <w:vAlign w:val="center"/>
          </w:tcPr>
          <w:p w14:paraId="2833732C">
            <w:pPr>
              <w:jc w:val="center"/>
              <w:rPr>
                <w:rFonts w:eastAsia="仿宋_GB2312"/>
                <w:color w:val="000000"/>
                <w:kern w:val="0"/>
                <w:sz w:val="18"/>
                <w:szCs w:val="22"/>
              </w:rPr>
            </w:pPr>
            <w:r>
              <w:rPr>
                <w:rFonts w:eastAsia="仿宋_GB2312"/>
                <w:color w:val="000000"/>
                <w:kern w:val="0"/>
                <w:sz w:val="18"/>
                <w:szCs w:val="22"/>
              </w:rPr>
              <w:t>161.80</w:t>
            </w:r>
          </w:p>
        </w:tc>
        <w:tc>
          <w:tcPr>
            <w:tcW w:w="640" w:type="dxa"/>
            <w:tcBorders>
              <w:top w:val="single" w:color="auto" w:sz="4" w:space="0"/>
              <w:left w:val="single" w:color="auto" w:sz="4" w:space="0"/>
              <w:bottom w:val="single" w:color="auto" w:sz="4" w:space="0"/>
              <w:right w:val="single" w:color="auto" w:sz="4" w:space="0"/>
            </w:tcBorders>
            <w:vAlign w:val="center"/>
          </w:tcPr>
          <w:p w14:paraId="4561BE62">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single" w:color="auto" w:sz="4" w:space="0"/>
              <w:left w:val="single" w:color="auto" w:sz="4" w:space="0"/>
              <w:bottom w:val="single" w:color="auto" w:sz="4" w:space="0"/>
              <w:right w:val="single" w:color="auto" w:sz="4" w:space="0"/>
            </w:tcBorders>
            <w:vAlign w:val="center"/>
          </w:tcPr>
          <w:p w14:paraId="6299F235">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single" w:color="auto" w:sz="4" w:space="0"/>
              <w:left w:val="single" w:color="auto" w:sz="4" w:space="0"/>
              <w:bottom w:val="single" w:color="auto" w:sz="4" w:space="0"/>
              <w:right w:val="single" w:color="auto" w:sz="4" w:space="0"/>
            </w:tcBorders>
            <w:vAlign w:val="center"/>
          </w:tcPr>
          <w:p w14:paraId="541C87FB">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single" w:color="auto" w:sz="4" w:space="0"/>
              <w:left w:val="single" w:color="auto" w:sz="4" w:space="0"/>
              <w:bottom w:val="single" w:color="auto" w:sz="4" w:space="0"/>
              <w:right w:val="single" w:color="auto" w:sz="4" w:space="0"/>
            </w:tcBorders>
            <w:vAlign w:val="center"/>
          </w:tcPr>
          <w:p w14:paraId="185BB810">
            <w:pPr>
              <w:jc w:val="center"/>
              <w:rPr>
                <w:rFonts w:eastAsia="仿宋_GB2312"/>
                <w:color w:val="000000"/>
                <w:kern w:val="0"/>
                <w:sz w:val="18"/>
                <w:szCs w:val="22"/>
              </w:rPr>
            </w:pPr>
            <w:r>
              <w:rPr>
                <w:rFonts w:eastAsia="仿宋_GB2312"/>
                <w:color w:val="000000"/>
                <w:kern w:val="0"/>
                <w:sz w:val="18"/>
                <w:szCs w:val="22"/>
              </w:rPr>
              <w:t>63.73</w:t>
            </w:r>
          </w:p>
        </w:tc>
        <w:tc>
          <w:tcPr>
            <w:tcW w:w="709" w:type="dxa"/>
            <w:tcBorders>
              <w:top w:val="single" w:color="auto" w:sz="4" w:space="0"/>
              <w:left w:val="single" w:color="auto" w:sz="4" w:space="0"/>
              <w:bottom w:val="single" w:color="auto" w:sz="4" w:space="0"/>
              <w:right w:val="single" w:color="auto" w:sz="4" w:space="0"/>
            </w:tcBorders>
            <w:vAlign w:val="center"/>
          </w:tcPr>
          <w:p w14:paraId="5D57DB20">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single" w:color="auto" w:sz="4" w:space="0"/>
              <w:left w:val="single" w:color="auto" w:sz="4" w:space="0"/>
              <w:bottom w:val="single" w:color="auto" w:sz="4" w:space="0"/>
              <w:right w:val="single" w:color="auto" w:sz="4" w:space="0"/>
            </w:tcBorders>
            <w:vAlign w:val="center"/>
          </w:tcPr>
          <w:p w14:paraId="25C6F63C">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single" w:color="auto" w:sz="4" w:space="0"/>
              <w:left w:val="single" w:color="auto" w:sz="4" w:space="0"/>
              <w:bottom w:val="single" w:color="auto" w:sz="4" w:space="0"/>
              <w:right w:val="single" w:color="auto" w:sz="4" w:space="0"/>
            </w:tcBorders>
            <w:vAlign w:val="center"/>
          </w:tcPr>
          <w:p w14:paraId="4B14FE88">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single" w:color="auto" w:sz="4" w:space="0"/>
              <w:left w:val="single" w:color="auto" w:sz="4" w:space="0"/>
              <w:bottom w:val="single" w:color="auto" w:sz="4" w:space="0"/>
              <w:right w:val="single" w:color="auto" w:sz="4" w:space="0"/>
            </w:tcBorders>
            <w:vAlign w:val="center"/>
          </w:tcPr>
          <w:p w14:paraId="194DB98C">
            <w:pPr>
              <w:jc w:val="center"/>
              <w:rPr>
                <w:rFonts w:eastAsia="仿宋_GB2312"/>
                <w:color w:val="000000"/>
                <w:kern w:val="0"/>
                <w:sz w:val="18"/>
                <w:szCs w:val="22"/>
              </w:rPr>
            </w:pPr>
            <w:r>
              <w:rPr>
                <w:rFonts w:eastAsia="仿宋_GB2312"/>
                <w:color w:val="000000"/>
                <w:kern w:val="0"/>
                <w:sz w:val="18"/>
                <w:szCs w:val="22"/>
              </w:rPr>
              <w:t>225.53</w:t>
            </w:r>
          </w:p>
        </w:tc>
      </w:tr>
      <w:tr w14:paraId="07AA875C">
        <w:tblPrEx>
          <w:tblCellMar>
            <w:top w:w="0" w:type="dxa"/>
            <w:left w:w="108" w:type="dxa"/>
            <w:bottom w:w="0" w:type="dxa"/>
            <w:right w:w="108" w:type="dxa"/>
          </w:tblCellMar>
        </w:tblPrEx>
        <w:trPr>
          <w:trHeight w:val="276" w:hRule="atLeast"/>
          <w:jc w:val="center"/>
        </w:trPr>
        <w:tc>
          <w:tcPr>
            <w:tcW w:w="1419" w:type="dxa"/>
            <w:tcBorders>
              <w:top w:val="single" w:color="auto" w:sz="4" w:space="0"/>
              <w:left w:val="single" w:color="auto" w:sz="4" w:space="0"/>
              <w:bottom w:val="single" w:color="auto" w:sz="4" w:space="0"/>
              <w:right w:val="single" w:color="auto" w:sz="4" w:space="0"/>
            </w:tcBorders>
            <w:vAlign w:val="center"/>
          </w:tcPr>
          <w:p w14:paraId="685444F2">
            <w:pPr>
              <w:jc w:val="center"/>
              <w:rPr>
                <w:rFonts w:ascii="宋体" w:hAnsi="宋体"/>
                <w:color w:val="000000"/>
                <w:kern w:val="0"/>
                <w:szCs w:val="21"/>
              </w:rPr>
            </w:pPr>
            <w:r>
              <w:rPr>
                <w:rFonts w:ascii="宋体" w:hAnsi="宋体"/>
                <w:color w:val="000000"/>
                <w:kern w:val="0"/>
                <w:szCs w:val="21"/>
              </w:rPr>
              <w:t>夏沟村</w:t>
            </w:r>
          </w:p>
        </w:tc>
        <w:tc>
          <w:tcPr>
            <w:tcW w:w="777" w:type="dxa"/>
            <w:tcBorders>
              <w:top w:val="single" w:color="auto" w:sz="4" w:space="0"/>
              <w:left w:val="nil"/>
              <w:bottom w:val="single" w:color="auto" w:sz="4" w:space="0"/>
              <w:right w:val="single" w:color="auto" w:sz="4" w:space="0"/>
            </w:tcBorders>
            <w:vAlign w:val="center"/>
          </w:tcPr>
          <w:p w14:paraId="08BA6457">
            <w:pPr>
              <w:jc w:val="center"/>
              <w:rPr>
                <w:rFonts w:eastAsia="仿宋_GB2312"/>
                <w:color w:val="000000"/>
                <w:kern w:val="0"/>
                <w:sz w:val="18"/>
                <w:szCs w:val="22"/>
              </w:rPr>
            </w:pPr>
            <w:r>
              <w:rPr>
                <w:rFonts w:eastAsia="仿宋_GB2312"/>
                <w:color w:val="000000"/>
                <w:kern w:val="0"/>
                <w:sz w:val="18"/>
                <w:szCs w:val="22"/>
              </w:rPr>
              <w:t>312.22</w:t>
            </w:r>
          </w:p>
        </w:tc>
        <w:tc>
          <w:tcPr>
            <w:tcW w:w="924" w:type="dxa"/>
            <w:tcBorders>
              <w:top w:val="single" w:color="auto" w:sz="4" w:space="0"/>
              <w:left w:val="nil"/>
              <w:bottom w:val="single" w:color="auto" w:sz="4" w:space="0"/>
              <w:right w:val="single" w:color="auto" w:sz="4" w:space="0"/>
            </w:tcBorders>
            <w:vAlign w:val="center"/>
          </w:tcPr>
          <w:p w14:paraId="42E59DF0">
            <w:pPr>
              <w:jc w:val="center"/>
              <w:rPr>
                <w:rFonts w:eastAsia="仿宋_GB2312"/>
                <w:color w:val="000000"/>
                <w:kern w:val="0"/>
                <w:sz w:val="18"/>
                <w:szCs w:val="22"/>
              </w:rPr>
            </w:pPr>
            <w:r>
              <w:rPr>
                <w:rFonts w:eastAsia="仿宋_GB2312"/>
                <w:color w:val="000000"/>
                <w:kern w:val="0"/>
                <w:sz w:val="18"/>
                <w:szCs w:val="22"/>
              </w:rPr>
              <w:t>370.06</w:t>
            </w:r>
          </w:p>
        </w:tc>
        <w:tc>
          <w:tcPr>
            <w:tcW w:w="640" w:type="dxa"/>
            <w:tcBorders>
              <w:top w:val="single" w:color="auto" w:sz="4" w:space="0"/>
              <w:left w:val="nil"/>
              <w:bottom w:val="single" w:color="auto" w:sz="4" w:space="0"/>
              <w:right w:val="single" w:color="auto" w:sz="4" w:space="0"/>
            </w:tcBorders>
            <w:vAlign w:val="center"/>
          </w:tcPr>
          <w:p w14:paraId="374B7407">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single" w:color="auto" w:sz="4" w:space="0"/>
              <w:left w:val="nil"/>
              <w:bottom w:val="single" w:color="auto" w:sz="4" w:space="0"/>
              <w:right w:val="single" w:color="auto" w:sz="4" w:space="0"/>
            </w:tcBorders>
            <w:vAlign w:val="center"/>
          </w:tcPr>
          <w:p w14:paraId="4751E3AD">
            <w:pPr>
              <w:jc w:val="center"/>
              <w:rPr>
                <w:rFonts w:eastAsia="仿宋_GB2312"/>
                <w:color w:val="000000"/>
                <w:kern w:val="0"/>
                <w:sz w:val="18"/>
                <w:szCs w:val="22"/>
              </w:rPr>
            </w:pPr>
            <w:r>
              <w:rPr>
                <w:rFonts w:eastAsia="仿宋_GB2312"/>
                <w:color w:val="000000"/>
                <w:kern w:val="0"/>
                <w:sz w:val="18"/>
                <w:szCs w:val="22"/>
              </w:rPr>
              <w:t>28.95</w:t>
            </w:r>
          </w:p>
        </w:tc>
        <w:tc>
          <w:tcPr>
            <w:tcW w:w="709" w:type="dxa"/>
            <w:tcBorders>
              <w:top w:val="single" w:color="auto" w:sz="4" w:space="0"/>
              <w:left w:val="nil"/>
              <w:bottom w:val="single" w:color="auto" w:sz="4" w:space="0"/>
              <w:right w:val="single" w:color="auto" w:sz="4" w:space="0"/>
            </w:tcBorders>
            <w:vAlign w:val="center"/>
          </w:tcPr>
          <w:p w14:paraId="0C97CC72">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single" w:color="auto" w:sz="4" w:space="0"/>
              <w:left w:val="nil"/>
              <w:bottom w:val="single" w:color="auto" w:sz="4" w:space="0"/>
              <w:right w:val="single" w:color="auto" w:sz="4" w:space="0"/>
            </w:tcBorders>
            <w:vAlign w:val="center"/>
          </w:tcPr>
          <w:p w14:paraId="213A6CE7">
            <w:pPr>
              <w:jc w:val="center"/>
              <w:rPr>
                <w:rFonts w:eastAsia="仿宋_GB2312"/>
                <w:color w:val="000000"/>
                <w:kern w:val="0"/>
                <w:sz w:val="18"/>
                <w:szCs w:val="22"/>
              </w:rPr>
            </w:pPr>
            <w:r>
              <w:rPr>
                <w:rFonts w:eastAsia="仿宋_GB2312"/>
                <w:color w:val="000000"/>
                <w:kern w:val="0"/>
                <w:sz w:val="18"/>
                <w:szCs w:val="22"/>
              </w:rPr>
              <w:t>11.35</w:t>
            </w:r>
          </w:p>
        </w:tc>
        <w:tc>
          <w:tcPr>
            <w:tcW w:w="709" w:type="dxa"/>
            <w:tcBorders>
              <w:top w:val="single" w:color="auto" w:sz="4" w:space="0"/>
              <w:left w:val="nil"/>
              <w:bottom w:val="single" w:color="auto" w:sz="4" w:space="0"/>
              <w:right w:val="single" w:color="auto" w:sz="4" w:space="0"/>
            </w:tcBorders>
            <w:vAlign w:val="center"/>
          </w:tcPr>
          <w:p w14:paraId="2FB8B03B">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single" w:color="auto" w:sz="4" w:space="0"/>
              <w:left w:val="nil"/>
              <w:bottom w:val="single" w:color="auto" w:sz="4" w:space="0"/>
              <w:right w:val="single" w:color="auto" w:sz="4" w:space="0"/>
            </w:tcBorders>
            <w:vAlign w:val="center"/>
          </w:tcPr>
          <w:p w14:paraId="711132F1">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single" w:color="auto" w:sz="4" w:space="0"/>
              <w:left w:val="nil"/>
              <w:bottom w:val="single" w:color="auto" w:sz="4" w:space="0"/>
              <w:right w:val="single" w:color="auto" w:sz="4" w:space="0"/>
            </w:tcBorders>
            <w:vAlign w:val="center"/>
          </w:tcPr>
          <w:p w14:paraId="16332BDB">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single" w:color="auto" w:sz="4" w:space="0"/>
              <w:left w:val="nil"/>
              <w:bottom w:val="single" w:color="auto" w:sz="4" w:space="0"/>
              <w:right w:val="single" w:color="auto" w:sz="4" w:space="0"/>
            </w:tcBorders>
            <w:vAlign w:val="center"/>
          </w:tcPr>
          <w:p w14:paraId="06268717">
            <w:pPr>
              <w:jc w:val="center"/>
              <w:rPr>
                <w:rFonts w:eastAsia="仿宋_GB2312"/>
                <w:color w:val="000000"/>
                <w:kern w:val="0"/>
                <w:sz w:val="18"/>
                <w:szCs w:val="22"/>
              </w:rPr>
            </w:pPr>
            <w:r>
              <w:rPr>
                <w:rFonts w:eastAsia="仿宋_GB2312"/>
                <w:color w:val="000000"/>
                <w:kern w:val="0"/>
                <w:sz w:val="18"/>
                <w:szCs w:val="22"/>
              </w:rPr>
              <w:t>722.58</w:t>
            </w:r>
          </w:p>
        </w:tc>
      </w:tr>
      <w:tr w14:paraId="0E6B0631">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300D61FB">
            <w:pPr>
              <w:jc w:val="center"/>
              <w:rPr>
                <w:rFonts w:ascii="宋体" w:hAnsi="宋体"/>
                <w:color w:val="000000"/>
                <w:kern w:val="0"/>
                <w:szCs w:val="21"/>
              </w:rPr>
            </w:pPr>
            <w:r>
              <w:rPr>
                <w:rFonts w:ascii="宋体" w:hAnsi="宋体"/>
                <w:color w:val="000000"/>
                <w:kern w:val="0"/>
                <w:szCs w:val="21"/>
              </w:rPr>
              <w:t>小桥村</w:t>
            </w:r>
          </w:p>
        </w:tc>
        <w:tc>
          <w:tcPr>
            <w:tcW w:w="777" w:type="dxa"/>
            <w:tcBorders>
              <w:top w:val="nil"/>
              <w:left w:val="nil"/>
              <w:bottom w:val="single" w:color="auto" w:sz="4" w:space="0"/>
              <w:right w:val="single" w:color="auto" w:sz="4" w:space="0"/>
            </w:tcBorders>
            <w:vAlign w:val="center"/>
          </w:tcPr>
          <w:p w14:paraId="4EAE8E44">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3BD7442D">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34E02563">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7CAB3DD8">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62009097">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49AA8E19">
            <w:pPr>
              <w:jc w:val="center"/>
              <w:rPr>
                <w:rFonts w:eastAsia="仿宋_GB2312"/>
                <w:color w:val="000000"/>
                <w:kern w:val="0"/>
                <w:sz w:val="18"/>
                <w:szCs w:val="22"/>
              </w:rPr>
            </w:pPr>
            <w:r>
              <w:rPr>
                <w:rFonts w:eastAsia="仿宋_GB2312"/>
                <w:color w:val="000000"/>
                <w:kern w:val="0"/>
                <w:sz w:val="18"/>
                <w:szCs w:val="22"/>
              </w:rPr>
              <w:t>1.53</w:t>
            </w:r>
          </w:p>
        </w:tc>
        <w:tc>
          <w:tcPr>
            <w:tcW w:w="709" w:type="dxa"/>
            <w:tcBorders>
              <w:top w:val="nil"/>
              <w:left w:val="nil"/>
              <w:bottom w:val="single" w:color="auto" w:sz="4" w:space="0"/>
              <w:right w:val="single" w:color="auto" w:sz="4" w:space="0"/>
            </w:tcBorders>
            <w:vAlign w:val="center"/>
          </w:tcPr>
          <w:p w14:paraId="7B0975F0">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05858D3">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49DD952D">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5004B562">
            <w:pPr>
              <w:jc w:val="center"/>
              <w:rPr>
                <w:rFonts w:eastAsia="仿宋_GB2312"/>
                <w:color w:val="000000"/>
                <w:kern w:val="0"/>
                <w:sz w:val="18"/>
                <w:szCs w:val="22"/>
              </w:rPr>
            </w:pPr>
            <w:r>
              <w:rPr>
                <w:rFonts w:eastAsia="仿宋_GB2312"/>
                <w:color w:val="000000"/>
                <w:kern w:val="0"/>
                <w:sz w:val="18"/>
                <w:szCs w:val="22"/>
              </w:rPr>
              <w:t>1.53</w:t>
            </w:r>
          </w:p>
        </w:tc>
      </w:tr>
      <w:tr w14:paraId="010D457B">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71A89EF8">
            <w:pPr>
              <w:jc w:val="center"/>
              <w:rPr>
                <w:rFonts w:ascii="宋体" w:hAnsi="宋体"/>
                <w:color w:val="000000"/>
                <w:kern w:val="0"/>
                <w:szCs w:val="21"/>
              </w:rPr>
            </w:pPr>
            <w:r>
              <w:rPr>
                <w:rFonts w:ascii="宋体" w:hAnsi="宋体"/>
                <w:color w:val="000000"/>
                <w:kern w:val="0"/>
                <w:szCs w:val="21"/>
              </w:rPr>
              <w:t>鸭儿湖养殖场</w:t>
            </w:r>
          </w:p>
        </w:tc>
        <w:tc>
          <w:tcPr>
            <w:tcW w:w="777" w:type="dxa"/>
            <w:tcBorders>
              <w:top w:val="nil"/>
              <w:left w:val="nil"/>
              <w:bottom w:val="single" w:color="auto" w:sz="4" w:space="0"/>
              <w:right w:val="single" w:color="auto" w:sz="4" w:space="0"/>
            </w:tcBorders>
            <w:vAlign w:val="center"/>
          </w:tcPr>
          <w:p w14:paraId="65A7287B">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2C1F1BDF">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2859A98F">
            <w:pPr>
              <w:jc w:val="center"/>
              <w:rPr>
                <w:rFonts w:eastAsia="仿宋_GB2312"/>
                <w:color w:val="000000"/>
                <w:kern w:val="0"/>
                <w:sz w:val="18"/>
                <w:szCs w:val="22"/>
              </w:rPr>
            </w:pPr>
            <w:r>
              <w:rPr>
                <w:rFonts w:eastAsia="仿宋_GB2312"/>
                <w:color w:val="000000"/>
                <w:kern w:val="0"/>
                <w:sz w:val="18"/>
                <w:szCs w:val="22"/>
              </w:rPr>
              <w:t>1.56</w:t>
            </w:r>
          </w:p>
        </w:tc>
        <w:tc>
          <w:tcPr>
            <w:tcW w:w="723" w:type="dxa"/>
            <w:tcBorders>
              <w:top w:val="nil"/>
              <w:left w:val="nil"/>
              <w:bottom w:val="single" w:color="auto" w:sz="4" w:space="0"/>
              <w:right w:val="single" w:color="auto" w:sz="4" w:space="0"/>
            </w:tcBorders>
            <w:vAlign w:val="center"/>
          </w:tcPr>
          <w:p w14:paraId="64707D86">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3336303F">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733DA19E">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2ED17800">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BECADA1">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49C95251">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2AC18EC2">
            <w:pPr>
              <w:jc w:val="center"/>
              <w:rPr>
                <w:rFonts w:eastAsia="仿宋_GB2312"/>
                <w:color w:val="000000"/>
                <w:kern w:val="0"/>
                <w:sz w:val="18"/>
                <w:szCs w:val="22"/>
              </w:rPr>
            </w:pPr>
            <w:r>
              <w:rPr>
                <w:rFonts w:eastAsia="仿宋_GB2312"/>
                <w:color w:val="000000"/>
                <w:kern w:val="0"/>
                <w:sz w:val="18"/>
                <w:szCs w:val="22"/>
              </w:rPr>
              <w:t>1.56</w:t>
            </w:r>
          </w:p>
        </w:tc>
      </w:tr>
      <w:tr w14:paraId="3FE45849">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37A704FE">
            <w:pPr>
              <w:jc w:val="center"/>
              <w:rPr>
                <w:rFonts w:ascii="宋体" w:hAnsi="宋体"/>
                <w:color w:val="000000"/>
                <w:kern w:val="0"/>
                <w:szCs w:val="21"/>
              </w:rPr>
            </w:pPr>
            <w:r>
              <w:rPr>
                <w:rFonts w:ascii="宋体" w:hAnsi="宋体"/>
                <w:color w:val="000000"/>
                <w:kern w:val="0"/>
                <w:szCs w:val="21"/>
              </w:rPr>
              <w:t>泽林村</w:t>
            </w:r>
          </w:p>
        </w:tc>
        <w:tc>
          <w:tcPr>
            <w:tcW w:w="777" w:type="dxa"/>
            <w:tcBorders>
              <w:top w:val="nil"/>
              <w:left w:val="nil"/>
              <w:bottom w:val="single" w:color="auto" w:sz="4" w:space="0"/>
              <w:right w:val="single" w:color="auto" w:sz="4" w:space="0"/>
            </w:tcBorders>
            <w:vAlign w:val="center"/>
          </w:tcPr>
          <w:p w14:paraId="45F77C20">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73E81AC9">
            <w:pPr>
              <w:jc w:val="center"/>
              <w:rPr>
                <w:rFonts w:eastAsia="仿宋_GB2312"/>
                <w:color w:val="000000"/>
                <w:kern w:val="0"/>
                <w:sz w:val="18"/>
                <w:szCs w:val="22"/>
              </w:rPr>
            </w:pPr>
            <w:r>
              <w:rPr>
                <w:rFonts w:eastAsia="仿宋_GB2312"/>
                <w:color w:val="000000"/>
                <w:kern w:val="0"/>
                <w:sz w:val="18"/>
                <w:szCs w:val="22"/>
              </w:rPr>
              <w:t>0.20</w:t>
            </w:r>
          </w:p>
        </w:tc>
        <w:tc>
          <w:tcPr>
            <w:tcW w:w="640" w:type="dxa"/>
            <w:tcBorders>
              <w:top w:val="nil"/>
              <w:left w:val="nil"/>
              <w:bottom w:val="single" w:color="auto" w:sz="4" w:space="0"/>
              <w:right w:val="single" w:color="auto" w:sz="4" w:space="0"/>
            </w:tcBorders>
            <w:vAlign w:val="center"/>
          </w:tcPr>
          <w:p w14:paraId="1AF339D6">
            <w:pPr>
              <w:jc w:val="center"/>
              <w:rPr>
                <w:rFonts w:eastAsia="仿宋_GB2312"/>
                <w:color w:val="000000"/>
                <w:kern w:val="0"/>
                <w:sz w:val="18"/>
                <w:szCs w:val="22"/>
              </w:rPr>
            </w:pPr>
            <w:r>
              <w:rPr>
                <w:rFonts w:eastAsia="仿宋_GB2312"/>
                <w:color w:val="000000"/>
                <w:kern w:val="0"/>
                <w:sz w:val="18"/>
                <w:szCs w:val="22"/>
              </w:rPr>
              <w:t>0.56</w:t>
            </w:r>
          </w:p>
        </w:tc>
        <w:tc>
          <w:tcPr>
            <w:tcW w:w="723" w:type="dxa"/>
            <w:tcBorders>
              <w:top w:val="nil"/>
              <w:left w:val="nil"/>
              <w:bottom w:val="single" w:color="auto" w:sz="4" w:space="0"/>
              <w:right w:val="single" w:color="auto" w:sz="4" w:space="0"/>
            </w:tcBorders>
            <w:vAlign w:val="center"/>
          </w:tcPr>
          <w:p w14:paraId="2784E79A">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1188D75D">
            <w:pPr>
              <w:jc w:val="center"/>
              <w:rPr>
                <w:rFonts w:eastAsia="仿宋_GB2312"/>
                <w:color w:val="000000"/>
                <w:kern w:val="0"/>
                <w:sz w:val="18"/>
                <w:szCs w:val="22"/>
              </w:rPr>
            </w:pPr>
            <w:r>
              <w:rPr>
                <w:rFonts w:eastAsia="仿宋_GB2312"/>
                <w:color w:val="000000"/>
                <w:kern w:val="0"/>
                <w:sz w:val="18"/>
                <w:szCs w:val="22"/>
              </w:rPr>
              <w:t>0</w:t>
            </w:r>
          </w:p>
        </w:tc>
        <w:tc>
          <w:tcPr>
            <w:tcW w:w="850" w:type="dxa"/>
            <w:tcBorders>
              <w:top w:val="nil"/>
              <w:left w:val="nil"/>
              <w:bottom w:val="single" w:color="auto" w:sz="4" w:space="0"/>
              <w:right w:val="single" w:color="auto" w:sz="4" w:space="0"/>
            </w:tcBorders>
            <w:vAlign w:val="center"/>
          </w:tcPr>
          <w:p w14:paraId="5F0FB7AF">
            <w:pPr>
              <w:jc w:val="center"/>
              <w:rPr>
                <w:rFonts w:eastAsia="仿宋_GB2312"/>
                <w:color w:val="000000"/>
                <w:kern w:val="0"/>
                <w:sz w:val="18"/>
                <w:szCs w:val="22"/>
              </w:rPr>
            </w:pPr>
            <w:r>
              <w:rPr>
                <w:rFonts w:eastAsia="仿宋_GB2312"/>
                <w:color w:val="000000"/>
                <w:kern w:val="0"/>
                <w:sz w:val="18"/>
                <w:szCs w:val="22"/>
              </w:rPr>
              <w:t>0</w:t>
            </w:r>
          </w:p>
        </w:tc>
        <w:tc>
          <w:tcPr>
            <w:tcW w:w="709" w:type="dxa"/>
            <w:tcBorders>
              <w:top w:val="nil"/>
              <w:left w:val="nil"/>
              <w:bottom w:val="single" w:color="auto" w:sz="4" w:space="0"/>
              <w:right w:val="single" w:color="auto" w:sz="4" w:space="0"/>
            </w:tcBorders>
            <w:vAlign w:val="center"/>
          </w:tcPr>
          <w:p w14:paraId="71C68E6C">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10A24594">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73901640">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1CF4403">
            <w:pPr>
              <w:jc w:val="center"/>
              <w:rPr>
                <w:rFonts w:eastAsia="仿宋_GB2312"/>
                <w:color w:val="000000"/>
                <w:kern w:val="0"/>
                <w:sz w:val="18"/>
                <w:szCs w:val="22"/>
              </w:rPr>
            </w:pPr>
            <w:r>
              <w:rPr>
                <w:rFonts w:eastAsia="仿宋_GB2312"/>
                <w:color w:val="000000"/>
                <w:kern w:val="0"/>
                <w:sz w:val="18"/>
                <w:szCs w:val="22"/>
              </w:rPr>
              <w:t>0.76</w:t>
            </w:r>
          </w:p>
        </w:tc>
      </w:tr>
      <w:tr w14:paraId="2797B9EE">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45C356E9">
            <w:pPr>
              <w:jc w:val="center"/>
              <w:rPr>
                <w:rFonts w:ascii="宋体" w:hAnsi="宋体"/>
                <w:color w:val="000000"/>
                <w:kern w:val="0"/>
                <w:szCs w:val="21"/>
              </w:rPr>
            </w:pPr>
            <w:r>
              <w:rPr>
                <w:rFonts w:ascii="宋体" w:hAnsi="宋体"/>
                <w:color w:val="000000"/>
                <w:kern w:val="0"/>
                <w:szCs w:val="21"/>
              </w:rPr>
              <w:t>沼山林场</w:t>
            </w:r>
          </w:p>
        </w:tc>
        <w:tc>
          <w:tcPr>
            <w:tcW w:w="777" w:type="dxa"/>
            <w:tcBorders>
              <w:top w:val="nil"/>
              <w:left w:val="nil"/>
              <w:bottom w:val="single" w:color="auto" w:sz="4" w:space="0"/>
              <w:right w:val="single" w:color="auto" w:sz="4" w:space="0"/>
            </w:tcBorders>
            <w:vAlign w:val="center"/>
          </w:tcPr>
          <w:p w14:paraId="6E8152F0">
            <w:pPr>
              <w:jc w:val="center"/>
              <w:rPr>
                <w:rFonts w:eastAsia="仿宋_GB2312"/>
                <w:color w:val="000000"/>
                <w:kern w:val="0"/>
                <w:sz w:val="18"/>
                <w:szCs w:val="22"/>
              </w:rPr>
            </w:pPr>
            <w:r>
              <w:rPr>
                <w:rFonts w:eastAsia="仿宋_GB2312"/>
                <w:color w:val="000000"/>
                <w:kern w:val="0"/>
                <w:sz w:val="18"/>
                <w:szCs w:val="22"/>
              </w:rPr>
              <w:t>0</w:t>
            </w:r>
          </w:p>
        </w:tc>
        <w:tc>
          <w:tcPr>
            <w:tcW w:w="924" w:type="dxa"/>
            <w:tcBorders>
              <w:top w:val="nil"/>
              <w:left w:val="nil"/>
              <w:bottom w:val="single" w:color="auto" w:sz="4" w:space="0"/>
              <w:right w:val="single" w:color="auto" w:sz="4" w:space="0"/>
            </w:tcBorders>
            <w:vAlign w:val="center"/>
          </w:tcPr>
          <w:p w14:paraId="7C37504E">
            <w:pPr>
              <w:jc w:val="center"/>
              <w:rPr>
                <w:rFonts w:eastAsia="仿宋_GB2312"/>
                <w:color w:val="000000"/>
                <w:kern w:val="0"/>
                <w:sz w:val="18"/>
                <w:szCs w:val="22"/>
              </w:rPr>
            </w:pPr>
            <w:r>
              <w:rPr>
                <w:rFonts w:eastAsia="仿宋_GB2312"/>
                <w:color w:val="000000"/>
                <w:kern w:val="0"/>
                <w:sz w:val="18"/>
                <w:szCs w:val="22"/>
              </w:rPr>
              <w:t>0</w:t>
            </w:r>
          </w:p>
        </w:tc>
        <w:tc>
          <w:tcPr>
            <w:tcW w:w="640" w:type="dxa"/>
            <w:tcBorders>
              <w:top w:val="nil"/>
              <w:left w:val="nil"/>
              <w:bottom w:val="single" w:color="auto" w:sz="4" w:space="0"/>
              <w:right w:val="single" w:color="auto" w:sz="4" w:space="0"/>
            </w:tcBorders>
            <w:vAlign w:val="center"/>
          </w:tcPr>
          <w:p w14:paraId="36998BB6">
            <w:pPr>
              <w:jc w:val="center"/>
              <w:rPr>
                <w:rFonts w:eastAsia="仿宋_GB2312"/>
                <w:color w:val="000000"/>
                <w:kern w:val="0"/>
                <w:sz w:val="18"/>
                <w:szCs w:val="22"/>
              </w:rPr>
            </w:pPr>
            <w:r>
              <w:rPr>
                <w:rFonts w:eastAsia="仿宋_GB2312"/>
                <w:color w:val="000000"/>
                <w:kern w:val="0"/>
                <w:sz w:val="18"/>
                <w:szCs w:val="22"/>
              </w:rPr>
              <w:t>0</w:t>
            </w:r>
          </w:p>
        </w:tc>
        <w:tc>
          <w:tcPr>
            <w:tcW w:w="723" w:type="dxa"/>
            <w:tcBorders>
              <w:top w:val="nil"/>
              <w:left w:val="nil"/>
              <w:bottom w:val="single" w:color="auto" w:sz="4" w:space="0"/>
              <w:right w:val="single" w:color="auto" w:sz="4" w:space="0"/>
            </w:tcBorders>
            <w:vAlign w:val="center"/>
          </w:tcPr>
          <w:p w14:paraId="37AA6656">
            <w:pPr>
              <w:jc w:val="center"/>
              <w:rPr>
                <w:rFonts w:eastAsia="仿宋_GB2312"/>
                <w:color w:val="000000"/>
                <w:kern w:val="0"/>
                <w:sz w:val="18"/>
                <w:szCs w:val="22"/>
              </w:rPr>
            </w:pPr>
            <w:r>
              <w:rPr>
                <w:rFonts w:eastAsia="仿宋_GB2312"/>
                <w:color w:val="000000"/>
                <w:kern w:val="0"/>
                <w:sz w:val="18"/>
                <w:szCs w:val="22"/>
              </w:rPr>
              <w:t>6.92</w:t>
            </w:r>
          </w:p>
        </w:tc>
        <w:tc>
          <w:tcPr>
            <w:tcW w:w="709" w:type="dxa"/>
            <w:tcBorders>
              <w:top w:val="nil"/>
              <w:left w:val="nil"/>
              <w:bottom w:val="single" w:color="auto" w:sz="4" w:space="0"/>
              <w:right w:val="single" w:color="auto" w:sz="4" w:space="0"/>
            </w:tcBorders>
            <w:vAlign w:val="center"/>
          </w:tcPr>
          <w:p w14:paraId="26A0BF66">
            <w:pPr>
              <w:jc w:val="center"/>
              <w:rPr>
                <w:rFonts w:eastAsia="仿宋_GB2312"/>
                <w:color w:val="000000"/>
                <w:kern w:val="0"/>
                <w:sz w:val="18"/>
                <w:szCs w:val="22"/>
              </w:rPr>
            </w:pPr>
            <w:r>
              <w:rPr>
                <w:rFonts w:eastAsia="仿宋_GB2312"/>
                <w:color w:val="000000"/>
                <w:kern w:val="0"/>
                <w:sz w:val="18"/>
                <w:szCs w:val="22"/>
              </w:rPr>
              <w:t>26.58</w:t>
            </w:r>
          </w:p>
        </w:tc>
        <w:tc>
          <w:tcPr>
            <w:tcW w:w="850" w:type="dxa"/>
            <w:tcBorders>
              <w:top w:val="nil"/>
              <w:left w:val="nil"/>
              <w:bottom w:val="single" w:color="auto" w:sz="4" w:space="0"/>
              <w:right w:val="single" w:color="auto" w:sz="4" w:space="0"/>
            </w:tcBorders>
            <w:vAlign w:val="center"/>
          </w:tcPr>
          <w:p w14:paraId="343DA60C">
            <w:pPr>
              <w:jc w:val="center"/>
              <w:rPr>
                <w:rFonts w:eastAsia="仿宋_GB2312"/>
                <w:color w:val="000000"/>
                <w:kern w:val="0"/>
                <w:sz w:val="18"/>
                <w:szCs w:val="22"/>
              </w:rPr>
            </w:pPr>
            <w:r>
              <w:rPr>
                <w:rFonts w:eastAsia="仿宋_GB2312"/>
                <w:color w:val="000000"/>
                <w:kern w:val="0"/>
                <w:sz w:val="18"/>
                <w:szCs w:val="22"/>
              </w:rPr>
              <w:t>482.62</w:t>
            </w:r>
          </w:p>
        </w:tc>
        <w:tc>
          <w:tcPr>
            <w:tcW w:w="709" w:type="dxa"/>
            <w:tcBorders>
              <w:top w:val="nil"/>
              <w:left w:val="nil"/>
              <w:bottom w:val="single" w:color="auto" w:sz="4" w:space="0"/>
              <w:right w:val="single" w:color="auto" w:sz="4" w:space="0"/>
            </w:tcBorders>
            <w:vAlign w:val="center"/>
          </w:tcPr>
          <w:p w14:paraId="453A59C3">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7D722ED2">
            <w:pPr>
              <w:jc w:val="center"/>
              <w:rPr>
                <w:rFonts w:eastAsia="仿宋_GB2312"/>
                <w:color w:val="000000"/>
                <w:kern w:val="0"/>
                <w:sz w:val="18"/>
                <w:szCs w:val="22"/>
              </w:rPr>
            </w:pPr>
            <w:r>
              <w:rPr>
                <w:rFonts w:eastAsia="仿宋_GB2312"/>
                <w:color w:val="000000"/>
                <w:kern w:val="0"/>
                <w:sz w:val="18"/>
                <w:szCs w:val="22"/>
              </w:rPr>
              <w:t>0</w:t>
            </w:r>
          </w:p>
        </w:tc>
        <w:tc>
          <w:tcPr>
            <w:tcW w:w="708" w:type="dxa"/>
            <w:tcBorders>
              <w:top w:val="nil"/>
              <w:left w:val="nil"/>
              <w:bottom w:val="single" w:color="auto" w:sz="4" w:space="0"/>
              <w:right w:val="single" w:color="auto" w:sz="4" w:space="0"/>
            </w:tcBorders>
            <w:vAlign w:val="center"/>
          </w:tcPr>
          <w:p w14:paraId="2514A117">
            <w:pPr>
              <w:jc w:val="center"/>
              <w:rPr>
                <w:rFonts w:eastAsia="仿宋_GB2312"/>
                <w:color w:val="000000"/>
                <w:kern w:val="0"/>
                <w:sz w:val="18"/>
                <w:szCs w:val="22"/>
              </w:rPr>
            </w:pPr>
            <w:r>
              <w:rPr>
                <w:rFonts w:eastAsia="仿宋_GB2312"/>
                <w:color w:val="000000"/>
                <w:kern w:val="0"/>
                <w:sz w:val="18"/>
                <w:szCs w:val="22"/>
              </w:rPr>
              <w:t>0</w:t>
            </w:r>
          </w:p>
        </w:tc>
        <w:tc>
          <w:tcPr>
            <w:tcW w:w="851" w:type="dxa"/>
            <w:tcBorders>
              <w:top w:val="nil"/>
              <w:left w:val="nil"/>
              <w:bottom w:val="single" w:color="auto" w:sz="4" w:space="0"/>
              <w:right w:val="single" w:color="auto" w:sz="4" w:space="0"/>
            </w:tcBorders>
            <w:vAlign w:val="center"/>
          </w:tcPr>
          <w:p w14:paraId="3BA8C60B">
            <w:pPr>
              <w:jc w:val="center"/>
              <w:rPr>
                <w:rFonts w:eastAsia="仿宋_GB2312"/>
                <w:color w:val="000000"/>
                <w:kern w:val="0"/>
                <w:sz w:val="18"/>
                <w:szCs w:val="22"/>
              </w:rPr>
            </w:pPr>
            <w:r>
              <w:rPr>
                <w:rFonts w:eastAsia="仿宋_GB2312"/>
                <w:color w:val="000000"/>
                <w:kern w:val="0"/>
                <w:sz w:val="18"/>
                <w:szCs w:val="22"/>
              </w:rPr>
              <w:t>516.12</w:t>
            </w:r>
          </w:p>
        </w:tc>
      </w:tr>
      <w:tr w14:paraId="66508C7E">
        <w:tblPrEx>
          <w:tblCellMar>
            <w:top w:w="0" w:type="dxa"/>
            <w:left w:w="108" w:type="dxa"/>
            <w:bottom w:w="0" w:type="dxa"/>
            <w:right w:w="108" w:type="dxa"/>
          </w:tblCellMar>
        </w:tblPrEx>
        <w:trPr>
          <w:trHeight w:val="276" w:hRule="atLeast"/>
          <w:jc w:val="center"/>
        </w:trPr>
        <w:tc>
          <w:tcPr>
            <w:tcW w:w="1419" w:type="dxa"/>
            <w:tcBorders>
              <w:top w:val="nil"/>
              <w:left w:val="single" w:color="auto" w:sz="4" w:space="0"/>
              <w:bottom w:val="single" w:color="auto" w:sz="4" w:space="0"/>
              <w:right w:val="single" w:color="auto" w:sz="4" w:space="0"/>
            </w:tcBorders>
            <w:vAlign w:val="center"/>
          </w:tcPr>
          <w:p w14:paraId="7A6B036F">
            <w:pPr>
              <w:jc w:val="center"/>
              <w:rPr>
                <w:rFonts w:ascii="宋体" w:hAnsi="宋体"/>
                <w:color w:val="000000"/>
                <w:kern w:val="0"/>
                <w:szCs w:val="21"/>
              </w:rPr>
            </w:pPr>
            <w:r>
              <w:rPr>
                <w:rFonts w:ascii="宋体" w:hAnsi="宋体"/>
                <w:color w:val="000000"/>
                <w:kern w:val="0"/>
                <w:szCs w:val="21"/>
              </w:rPr>
              <w:t>总计</w:t>
            </w:r>
          </w:p>
        </w:tc>
        <w:tc>
          <w:tcPr>
            <w:tcW w:w="777" w:type="dxa"/>
            <w:tcBorders>
              <w:top w:val="nil"/>
              <w:left w:val="nil"/>
              <w:bottom w:val="single" w:color="auto" w:sz="4" w:space="0"/>
              <w:right w:val="single" w:color="auto" w:sz="4" w:space="0"/>
            </w:tcBorders>
            <w:vAlign w:val="center"/>
          </w:tcPr>
          <w:p w14:paraId="632B7A1D">
            <w:pPr>
              <w:jc w:val="center"/>
              <w:rPr>
                <w:rFonts w:eastAsia="仿宋_GB2312"/>
                <w:color w:val="000000"/>
                <w:kern w:val="0"/>
                <w:sz w:val="18"/>
                <w:szCs w:val="22"/>
              </w:rPr>
            </w:pPr>
            <w:r>
              <w:rPr>
                <w:rFonts w:eastAsia="仿宋_GB2312"/>
                <w:color w:val="000000"/>
                <w:kern w:val="0"/>
                <w:sz w:val="18"/>
                <w:szCs w:val="22"/>
              </w:rPr>
              <w:t>559.31</w:t>
            </w:r>
          </w:p>
        </w:tc>
        <w:tc>
          <w:tcPr>
            <w:tcW w:w="924" w:type="dxa"/>
            <w:tcBorders>
              <w:top w:val="nil"/>
              <w:left w:val="nil"/>
              <w:bottom w:val="single" w:color="auto" w:sz="4" w:space="0"/>
              <w:right w:val="single" w:color="auto" w:sz="4" w:space="0"/>
            </w:tcBorders>
            <w:vAlign w:val="center"/>
          </w:tcPr>
          <w:p w14:paraId="4B500BE3">
            <w:pPr>
              <w:jc w:val="center"/>
              <w:rPr>
                <w:rFonts w:eastAsia="仿宋_GB2312"/>
                <w:color w:val="000000"/>
                <w:kern w:val="0"/>
                <w:sz w:val="18"/>
                <w:szCs w:val="22"/>
              </w:rPr>
            </w:pPr>
            <w:r>
              <w:rPr>
                <w:rFonts w:eastAsia="仿宋_GB2312"/>
                <w:color w:val="000000"/>
                <w:kern w:val="0"/>
                <w:sz w:val="18"/>
                <w:szCs w:val="22"/>
              </w:rPr>
              <w:t>1491.64</w:t>
            </w:r>
          </w:p>
        </w:tc>
        <w:tc>
          <w:tcPr>
            <w:tcW w:w="640" w:type="dxa"/>
            <w:tcBorders>
              <w:top w:val="nil"/>
              <w:left w:val="nil"/>
              <w:bottom w:val="single" w:color="auto" w:sz="4" w:space="0"/>
              <w:right w:val="single" w:color="auto" w:sz="4" w:space="0"/>
            </w:tcBorders>
            <w:vAlign w:val="center"/>
          </w:tcPr>
          <w:p w14:paraId="415D5B58">
            <w:pPr>
              <w:jc w:val="center"/>
              <w:rPr>
                <w:rFonts w:eastAsia="仿宋_GB2312"/>
                <w:color w:val="000000"/>
                <w:kern w:val="0"/>
                <w:sz w:val="18"/>
                <w:szCs w:val="22"/>
              </w:rPr>
            </w:pPr>
            <w:r>
              <w:rPr>
                <w:rFonts w:eastAsia="仿宋_GB2312"/>
                <w:color w:val="000000"/>
                <w:kern w:val="0"/>
                <w:sz w:val="18"/>
                <w:szCs w:val="22"/>
              </w:rPr>
              <w:t>20.14</w:t>
            </w:r>
          </w:p>
        </w:tc>
        <w:tc>
          <w:tcPr>
            <w:tcW w:w="723" w:type="dxa"/>
            <w:tcBorders>
              <w:top w:val="nil"/>
              <w:left w:val="nil"/>
              <w:bottom w:val="single" w:color="auto" w:sz="4" w:space="0"/>
              <w:right w:val="single" w:color="auto" w:sz="4" w:space="0"/>
            </w:tcBorders>
            <w:vAlign w:val="center"/>
          </w:tcPr>
          <w:p w14:paraId="274B1A01">
            <w:pPr>
              <w:jc w:val="center"/>
              <w:rPr>
                <w:rFonts w:eastAsia="仿宋_GB2312"/>
                <w:color w:val="000000"/>
                <w:kern w:val="0"/>
                <w:sz w:val="18"/>
                <w:szCs w:val="22"/>
              </w:rPr>
            </w:pPr>
            <w:r>
              <w:rPr>
                <w:rFonts w:eastAsia="仿宋_GB2312"/>
                <w:color w:val="000000"/>
                <w:kern w:val="0"/>
                <w:sz w:val="18"/>
                <w:szCs w:val="22"/>
              </w:rPr>
              <w:t>77.48</w:t>
            </w:r>
          </w:p>
        </w:tc>
        <w:tc>
          <w:tcPr>
            <w:tcW w:w="709" w:type="dxa"/>
            <w:tcBorders>
              <w:top w:val="nil"/>
              <w:left w:val="nil"/>
              <w:bottom w:val="single" w:color="auto" w:sz="4" w:space="0"/>
              <w:right w:val="single" w:color="auto" w:sz="4" w:space="0"/>
            </w:tcBorders>
            <w:vAlign w:val="center"/>
          </w:tcPr>
          <w:p w14:paraId="66EC3DC4">
            <w:pPr>
              <w:jc w:val="center"/>
              <w:rPr>
                <w:rFonts w:eastAsia="仿宋_GB2312"/>
                <w:color w:val="000000"/>
                <w:kern w:val="0"/>
                <w:sz w:val="18"/>
                <w:szCs w:val="22"/>
              </w:rPr>
            </w:pPr>
            <w:r>
              <w:rPr>
                <w:rFonts w:eastAsia="仿宋_GB2312"/>
                <w:color w:val="000000"/>
                <w:kern w:val="0"/>
                <w:sz w:val="18"/>
                <w:szCs w:val="22"/>
              </w:rPr>
              <w:t>26.58</w:t>
            </w:r>
          </w:p>
        </w:tc>
        <w:tc>
          <w:tcPr>
            <w:tcW w:w="850" w:type="dxa"/>
            <w:tcBorders>
              <w:top w:val="nil"/>
              <w:left w:val="nil"/>
              <w:bottom w:val="single" w:color="auto" w:sz="4" w:space="0"/>
              <w:right w:val="single" w:color="auto" w:sz="4" w:space="0"/>
            </w:tcBorders>
            <w:vAlign w:val="center"/>
          </w:tcPr>
          <w:p w14:paraId="59405561">
            <w:pPr>
              <w:jc w:val="center"/>
              <w:rPr>
                <w:rFonts w:eastAsia="仿宋_GB2312"/>
                <w:color w:val="000000"/>
                <w:kern w:val="0"/>
                <w:sz w:val="18"/>
                <w:szCs w:val="22"/>
              </w:rPr>
            </w:pPr>
            <w:r>
              <w:rPr>
                <w:rFonts w:eastAsia="仿宋_GB2312"/>
                <w:color w:val="000000"/>
                <w:kern w:val="0"/>
                <w:sz w:val="18"/>
                <w:szCs w:val="22"/>
              </w:rPr>
              <w:t>976.46</w:t>
            </w:r>
          </w:p>
        </w:tc>
        <w:tc>
          <w:tcPr>
            <w:tcW w:w="709" w:type="dxa"/>
            <w:tcBorders>
              <w:top w:val="nil"/>
              <w:left w:val="nil"/>
              <w:bottom w:val="single" w:color="auto" w:sz="4" w:space="0"/>
              <w:right w:val="single" w:color="auto" w:sz="4" w:space="0"/>
            </w:tcBorders>
            <w:vAlign w:val="center"/>
          </w:tcPr>
          <w:p w14:paraId="3223BD19">
            <w:pPr>
              <w:jc w:val="center"/>
              <w:rPr>
                <w:rFonts w:eastAsia="仿宋_GB2312"/>
                <w:color w:val="000000"/>
                <w:kern w:val="0"/>
                <w:sz w:val="18"/>
                <w:szCs w:val="22"/>
              </w:rPr>
            </w:pPr>
            <w:r>
              <w:rPr>
                <w:rFonts w:eastAsia="仿宋_GB2312"/>
                <w:color w:val="000000"/>
                <w:kern w:val="0"/>
                <w:sz w:val="18"/>
                <w:szCs w:val="22"/>
              </w:rPr>
              <w:t>0.91</w:t>
            </w:r>
          </w:p>
        </w:tc>
        <w:tc>
          <w:tcPr>
            <w:tcW w:w="851" w:type="dxa"/>
            <w:tcBorders>
              <w:top w:val="nil"/>
              <w:left w:val="nil"/>
              <w:bottom w:val="single" w:color="auto" w:sz="4" w:space="0"/>
              <w:right w:val="single" w:color="auto" w:sz="4" w:space="0"/>
            </w:tcBorders>
            <w:vAlign w:val="center"/>
          </w:tcPr>
          <w:p w14:paraId="373FF8A6">
            <w:pPr>
              <w:jc w:val="center"/>
              <w:rPr>
                <w:rFonts w:eastAsia="仿宋_GB2312"/>
                <w:color w:val="000000"/>
                <w:kern w:val="0"/>
                <w:sz w:val="18"/>
                <w:szCs w:val="22"/>
              </w:rPr>
            </w:pPr>
            <w:r>
              <w:rPr>
                <w:rFonts w:eastAsia="仿宋_GB2312"/>
                <w:color w:val="000000"/>
                <w:kern w:val="0"/>
                <w:sz w:val="18"/>
                <w:szCs w:val="22"/>
              </w:rPr>
              <w:t>24.27</w:t>
            </w:r>
          </w:p>
        </w:tc>
        <w:tc>
          <w:tcPr>
            <w:tcW w:w="708" w:type="dxa"/>
            <w:tcBorders>
              <w:top w:val="nil"/>
              <w:left w:val="nil"/>
              <w:bottom w:val="single" w:color="auto" w:sz="4" w:space="0"/>
              <w:right w:val="single" w:color="auto" w:sz="4" w:space="0"/>
            </w:tcBorders>
            <w:vAlign w:val="center"/>
          </w:tcPr>
          <w:p w14:paraId="4D7BE3DC">
            <w:pPr>
              <w:jc w:val="center"/>
              <w:rPr>
                <w:rFonts w:eastAsia="仿宋_GB2312"/>
                <w:color w:val="000000"/>
                <w:kern w:val="0"/>
                <w:sz w:val="18"/>
                <w:szCs w:val="22"/>
              </w:rPr>
            </w:pPr>
            <w:r>
              <w:rPr>
                <w:rFonts w:eastAsia="仿宋_GB2312"/>
                <w:color w:val="000000"/>
                <w:kern w:val="0"/>
                <w:sz w:val="18"/>
                <w:szCs w:val="22"/>
              </w:rPr>
              <w:t>11.76</w:t>
            </w:r>
          </w:p>
        </w:tc>
        <w:tc>
          <w:tcPr>
            <w:tcW w:w="851" w:type="dxa"/>
            <w:tcBorders>
              <w:top w:val="nil"/>
              <w:left w:val="nil"/>
              <w:bottom w:val="single" w:color="auto" w:sz="4" w:space="0"/>
              <w:right w:val="single" w:color="auto" w:sz="4" w:space="0"/>
            </w:tcBorders>
            <w:vAlign w:val="center"/>
          </w:tcPr>
          <w:p w14:paraId="223868B9">
            <w:pPr>
              <w:jc w:val="center"/>
              <w:rPr>
                <w:rFonts w:eastAsia="仿宋_GB2312"/>
                <w:color w:val="000000"/>
                <w:kern w:val="0"/>
                <w:sz w:val="18"/>
                <w:szCs w:val="22"/>
              </w:rPr>
            </w:pPr>
            <w:r>
              <w:rPr>
                <w:rFonts w:eastAsia="仿宋_GB2312"/>
                <w:color w:val="000000"/>
                <w:kern w:val="0"/>
                <w:sz w:val="18"/>
                <w:szCs w:val="22"/>
              </w:rPr>
              <w:t>3188.55</w:t>
            </w:r>
          </w:p>
        </w:tc>
      </w:tr>
    </w:tbl>
    <w:p w14:paraId="4D918FB0">
      <w:pPr>
        <w:spacing w:line="360" w:lineRule="auto"/>
        <w:ind w:firstLine="422" w:firstLineChars="200"/>
        <w:rPr>
          <w:rFonts w:eastAsia="黑体"/>
          <w:b/>
          <w:szCs w:val="21"/>
        </w:rPr>
      </w:pPr>
    </w:p>
    <w:p w14:paraId="5FC92B8E">
      <w:pPr>
        <w:pStyle w:val="2"/>
        <w:keepNext w:val="0"/>
        <w:keepLines w:val="0"/>
        <w:pageBreakBefore/>
        <w:widowControl w:val="0"/>
        <w:tabs>
          <w:tab w:val="left" w:pos="1440"/>
        </w:tabs>
        <w:spacing w:line="360" w:lineRule="auto"/>
        <w:ind w:left="578" w:hanging="578" w:hangingChars="192"/>
        <w:jc w:val="center"/>
        <w:rPr>
          <w:rFonts w:eastAsia="黑体"/>
          <w:b w:val="0"/>
          <w:bCs w:val="0"/>
          <w:smallCaps/>
        </w:rPr>
      </w:pPr>
      <w:bookmarkStart w:id="42" w:name="_Toc47384586"/>
      <w:bookmarkStart w:id="43" w:name="_Toc532725079"/>
      <w:r>
        <w:rPr>
          <w:rFonts w:ascii="黑体" w:hAnsi="黑体" w:eastAsia="黑体"/>
          <w:sz w:val="30"/>
          <w:szCs w:val="30"/>
        </w:rPr>
        <w:t>第二章 国有农用地级别与基准地价评估技术方案</w:t>
      </w:r>
      <w:bookmarkEnd w:id="42"/>
      <w:bookmarkEnd w:id="43"/>
    </w:p>
    <w:p w14:paraId="5A242D17">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44" w:name="_Toc532725080"/>
      <w:bookmarkStart w:id="45" w:name="_Toc47384587"/>
      <w:r>
        <w:rPr>
          <w:rFonts w:hint="eastAsia" w:ascii="宋体" w:hAnsi="宋体"/>
          <w:bCs/>
          <w:kern w:val="2"/>
          <w:szCs w:val="28"/>
        </w:rPr>
        <w:t>2</w:t>
      </w:r>
      <w:r>
        <w:rPr>
          <w:rFonts w:ascii="宋体" w:hAnsi="宋体"/>
          <w:bCs/>
          <w:kern w:val="2"/>
          <w:szCs w:val="28"/>
        </w:rPr>
        <w:t>.1基本原则</w:t>
      </w:r>
      <w:bookmarkEnd w:id="44"/>
      <w:bookmarkEnd w:id="45"/>
    </w:p>
    <w:p w14:paraId="27B77C99">
      <w:pPr>
        <w:pStyle w:val="4"/>
        <w:widowControl w:val="0"/>
        <w:tabs>
          <w:tab w:val="left" w:pos="720"/>
        </w:tabs>
        <w:spacing w:before="120" w:after="120" w:line="500" w:lineRule="exact"/>
        <w:ind w:left="826" w:hanging="826"/>
        <w:jc w:val="both"/>
        <w:rPr>
          <w:rFonts w:ascii="宋体" w:hAnsi="宋体"/>
          <w:sz w:val="24"/>
          <w:szCs w:val="24"/>
        </w:rPr>
      </w:pPr>
      <w:bookmarkStart w:id="46" w:name="_Toc534833319"/>
      <w:bookmarkStart w:id="47" w:name="_Toc532725081"/>
      <w:bookmarkStart w:id="48" w:name="_Toc535399897"/>
      <w:bookmarkStart w:id="49" w:name="_Toc47384588"/>
      <w:r>
        <w:rPr>
          <w:rFonts w:hint="eastAsia" w:ascii="宋体" w:hAnsi="宋体"/>
          <w:sz w:val="24"/>
          <w:szCs w:val="24"/>
        </w:rPr>
        <w:t>2</w:t>
      </w:r>
      <w:r>
        <w:rPr>
          <w:rFonts w:ascii="宋体" w:hAnsi="宋体"/>
          <w:sz w:val="24"/>
          <w:szCs w:val="24"/>
        </w:rPr>
        <w:t>.1.1 土地定级的原则</w:t>
      </w:r>
      <w:bookmarkEnd w:id="46"/>
      <w:bookmarkEnd w:id="47"/>
      <w:bookmarkEnd w:id="48"/>
      <w:bookmarkEnd w:id="49"/>
    </w:p>
    <w:p w14:paraId="1855A8D9">
      <w:pPr>
        <w:pStyle w:val="12"/>
        <w:spacing w:line="360" w:lineRule="auto"/>
        <w:ind w:firstLine="480" w:firstLineChars="200"/>
        <w:rPr>
          <w:rFonts w:ascii="Times New Roman" w:hAnsi="Times New Roman" w:cs="Times New Roman"/>
          <w:sz w:val="24"/>
        </w:rPr>
      </w:pPr>
      <w:r>
        <w:rPr>
          <w:rFonts w:ascii="Times New Roman" w:hAnsi="Times New Roman" w:cs="Times New Roman"/>
          <w:sz w:val="24"/>
        </w:rPr>
        <w:t>根据《农用地定级规程》（GB/T28405-2012）规定，结合湖北省新一轮基准地价评估工作的实际情况，确定鄂州市国有农用地定级遵循以下基本原则：</w:t>
      </w:r>
    </w:p>
    <w:p w14:paraId="240B9860">
      <w:pPr>
        <w:pStyle w:val="12"/>
        <w:spacing w:line="360" w:lineRule="auto"/>
        <w:ind w:firstLine="480"/>
        <w:rPr>
          <w:rFonts w:ascii="Times New Roman" w:hAnsi="Times New Roman" w:cs="Times New Roman"/>
          <w:sz w:val="24"/>
        </w:rPr>
      </w:pPr>
      <w:r>
        <w:rPr>
          <w:rFonts w:ascii="Times New Roman" w:hAnsi="Times New Roman" w:cs="Times New Roman"/>
          <w:sz w:val="24"/>
        </w:rPr>
        <w:t>（1）综合分析原则：</w:t>
      </w:r>
      <w:r>
        <w:rPr>
          <w:rFonts w:hint="eastAsia" w:ascii="Times New Roman" w:hAnsi="Times New Roman" w:cs="Times New Roman"/>
          <w:sz w:val="24"/>
        </w:rPr>
        <w:t>耕地</w:t>
      </w:r>
      <w:r>
        <w:rPr>
          <w:rFonts w:ascii="Times New Roman" w:hAnsi="Times New Roman" w:cs="Times New Roman"/>
          <w:sz w:val="24"/>
        </w:rPr>
        <w:t>质量等级是各种自然属性、社会经济状况和区位条件综合作用的结果，</w:t>
      </w:r>
      <w:r>
        <w:rPr>
          <w:rFonts w:hint="eastAsia" w:ascii="Times New Roman" w:hAnsi="Times New Roman" w:cs="Times New Roman"/>
          <w:sz w:val="24"/>
        </w:rPr>
        <w:t>耕地</w:t>
      </w:r>
      <w:r>
        <w:rPr>
          <w:rFonts w:ascii="Times New Roman" w:hAnsi="Times New Roman" w:cs="Times New Roman"/>
          <w:sz w:val="24"/>
        </w:rPr>
        <w:t>定级是以造成土地质量差异的各种因素进行综合分析为基础。</w:t>
      </w:r>
    </w:p>
    <w:p w14:paraId="0CFF263C">
      <w:pPr>
        <w:pStyle w:val="12"/>
        <w:spacing w:line="360" w:lineRule="auto"/>
        <w:ind w:firstLine="480"/>
        <w:rPr>
          <w:rFonts w:ascii="Times New Roman" w:hAnsi="Times New Roman" w:cs="Times New Roman"/>
          <w:sz w:val="24"/>
        </w:rPr>
      </w:pPr>
      <w:r>
        <w:rPr>
          <w:rFonts w:ascii="Times New Roman" w:hAnsi="Times New Roman" w:cs="Times New Roman"/>
          <w:sz w:val="24"/>
        </w:rPr>
        <w:t>（2）主导因素原则：根据影响</w:t>
      </w:r>
      <w:r>
        <w:rPr>
          <w:rFonts w:hint="eastAsia" w:ascii="Times New Roman" w:hAnsi="Times New Roman" w:cs="Times New Roman"/>
          <w:sz w:val="24"/>
        </w:rPr>
        <w:t>耕地</w:t>
      </w:r>
      <w:r>
        <w:rPr>
          <w:rFonts w:ascii="Times New Roman" w:hAnsi="Times New Roman" w:cs="Times New Roman"/>
          <w:sz w:val="24"/>
        </w:rPr>
        <w:t>级别的因素因子及其作用的差异，重点分析对</w:t>
      </w:r>
      <w:r>
        <w:rPr>
          <w:rFonts w:hint="eastAsia" w:ascii="Times New Roman" w:hAnsi="Times New Roman" w:cs="Times New Roman"/>
          <w:sz w:val="24"/>
        </w:rPr>
        <w:t>耕地</w:t>
      </w:r>
      <w:r>
        <w:rPr>
          <w:rFonts w:ascii="Times New Roman" w:hAnsi="Times New Roman" w:cs="Times New Roman"/>
          <w:sz w:val="24"/>
        </w:rPr>
        <w:t>质量及土地利用水平具有重要作用的主导因素，突出主导因素对定级结果的作用。</w:t>
      </w:r>
    </w:p>
    <w:p w14:paraId="6CA4DBEB">
      <w:pPr>
        <w:pStyle w:val="12"/>
        <w:spacing w:line="360" w:lineRule="auto"/>
        <w:ind w:firstLine="480"/>
        <w:rPr>
          <w:rFonts w:ascii="Times New Roman" w:hAnsi="Times New Roman" w:cs="Times New Roman"/>
          <w:sz w:val="24"/>
        </w:rPr>
      </w:pPr>
      <w:r>
        <w:rPr>
          <w:rFonts w:ascii="Times New Roman" w:hAnsi="Times New Roman" w:cs="Times New Roman"/>
          <w:sz w:val="24"/>
        </w:rPr>
        <w:t>（3）土地收益差异原则：</w:t>
      </w:r>
      <w:r>
        <w:rPr>
          <w:rFonts w:hint="eastAsia" w:ascii="Times New Roman" w:hAnsi="Times New Roman" w:cs="Times New Roman"/>
          <w:sz w:val="24"/>
        </w:rPr>
        <w:t>耕地</w:t>
      </w:r>
      <w:r>
        <w:rPr>
          <w:rFonts w:ascii="Times New Roman" w:hAnsi="Times New Roman" w:cs="Times New Roman"/>
          <w:sz w:val="24"/>
        </w:rPr>
        <w:t>定级要能够反映土地自然质量条件、土地利用水平、社会经济水平的差异对土地生产力水平</w:t>
      </w:r>
      <w:r>
        <w:rPr>
          <w:rFonts w:hint="eastAsia" w:ascii="Times New Roman" w:hAnsi="Times New Roman" w:cs="Times New Roman"/>
          <w:sz w:val="24"/>
        </w:rPr>
        <w:t>及</w:t>
      </w:r>
      <w:r>
        <w:rPr>
          <w:rFonts w:ascii="Times New Roman" w:hAnsi="Times New Roman" w:cs="Times New Roman"/>
          <w:sz w:val="24"/>
        </w:rPr>
        <w:t>土地收益水平的影响。</w:t>
      </w:r>
    </w:p>
    <w:p w14:paraId="537C8CD5">
      <w:pPr>
        <w:pStyle w:val="12"/>
        <w:spacing w:line="360" w:lineRule="auto"/>
        <w:ind w:firstLine="480" w:firstLineChars="200"/>
        <w:rPr>
          <w:rFonts w:ascii="Times New Roman" w:hAnsi="Times New Roman" w:cs="Times New Roman"/>
          <w:sz w:val="24"/>
        </w:rPr>
      </w:pPr>
      <w:r>
        <w:rPr>
          <w:rFonts w:ascii="Times New Roman" w:hAnsi="Times New Roman" w:cs="Times New Roman"/>
          <w:sz w:val="24"/>
        </w:rPr>
        <w:t>（4）定量与定性分析结合原则：应尽量把定性的、经验性的分析进行量化，初步方案确定以定量分析为主，分级调整和最终方案确定宜以定性分析为主。</w:t>
      </w:r>
    </w:p>
    <w:p w14:paraId="42764CF9">
      <w:pPr>
        <w:pStyle w:val="4"/>
        <w:widowControl w:val="0"/>
        <w:tabs>
          <w:tab w:val="left" w:pos="720"/>
        </w:tabs>
        <w:spacing w:before="120" w:after="120" w:line="500" w:lineRule="exact"/>
        <w:ind w:left="826" w:hanging="826"/>
        <w:jc w:val="both"/>
        <w:rPr>
          <w:rFonts w:ascii="宋体" w:hAnsi="宋体"/>
          <w:sz w:val="24"/>
          <w:szCs w:val="24"/>
        </w:rPr>
      </w:pPr>
      <w:bookmarkStart w:id="50" w:name="_Toc535399898"/>
      <w:bookmarkStart w:id="51" w:name="_Toc47384589"/>
      <w:bookmarkStart w:id="52" w:name="_Toc532725082"/>
      <w:bookmarkStart w:id="53" w:name="_Toc534833320"/>
      <w:r>
        <w:rPr>
          <w:rFonts w:hint="eastAsia" w:ascii="宋体" w:hAnsi="宋体"/>
          <w:sz w:val="24"/>
          <w:szCs w:val="24"/>
        </w:rPr>
        <w:t>2</w:t>
      </w:r>
      <w:r>
        <w:rPr>
          <w:rFonts w:ascii="宋体" w:hAnsi="宋体"/>
          <w:sz w:val="24"/>
          <w:szCs w:val="24"/>
        </w:rPr>
        <w:t>.1.2 基准地价评估的原则</w:t>
      </w:r>
      <w:bookmarkEnd w:id="50"/>
      <w:bookmarkEnd w:id="51"/>
      <w:bookmarkEnd w:id="52"/>
      <w:bookmarkEnd w:id="53"/>
    </w:p>
    <w:p w14:paraId="4F4F2169">
      <w:pPr>
        <w:pStyle w:val="12"/>
        <w:spacing w:line="360" w:lineRule="auto"/>
        <w:rPr>
          <w:rFonts w:ascii="Times New Roman" w:hAnsi="Times New Roman" w:cs="Times New Roman"/>
          <w:sz w:val="24"/>
        </w:rPr>
      </w:pPr>
      <w:r>
        <w:rPr>
          <w:rFonts w:ascii="Times New Roman" w:hAnsi="Times New Roman" w:cs="Times New Roman"/>
          <w:sz w:val="24"/>
        </w:rPr>
        <w:t>（1）合法原则</w:t>
      </w:r>
    </w:p>
    <w:p w14:paraId="5BF08EB6">
      <w:pPr>
        <w:pStyle w:val="12"/>
        <w:spacing w:line="360" w:lineRule="auto"/>
        <w:ind w:firstLine="480" w:firstLineChars="200"/>
        <w:rPr>
          <w:rFonts w:ascii="Times New Roman" w:hAnsi="Times New Roman" w:cs="Times New Roman"/>
          <w:sz w:val="24"/>
        </w:rPr>
      </w:pPr>
      <w:r>
        <w:rPr>
          <w:rFonts w:ascii="Times New Roman" w:hAnsi="Times New Roman" w:cs="Times New Roman"/>
          <w:sz w:val="24"/>
        </w:rPr>
        <w:t>合法原则是所有土地估价都须遵循的原则</w:t>
      </w:r>
      <w:r>
        <w:rPr>
          <w:rFonts w:hint="eastAsia" w:ascii="Times New Roman" w:hAnsi="Times New Roman" w:cs="Times New Roman"/>
          <w:sz w:val="24"/>
        </w:rPr>
        <w:t>，</w:t>
      </w:r>
      <w:r>
        <w:rPr>
          <w:rFonts w:ascii="Times New Roman" w:hAnsi="Times New Roman" w:cs="Times New Roman"/>
          <w:sz w:val="24"/>
        </w:rPr>
        <w:t>要求土地估价应以估价对象的合法权益为前提进行。合法权益包括合法产权、合法使用、合法处分等方面。</w:t>
      </w:r>
    </w:p>
    <w:p w14:paraId="2F472F71">
      <w:pPr>
        <w:pStyle w:val="12"/>
        <w:spacing w:line="360" w:lineRule="auto"/>
        <w:rPr>
          <w:rFonts w:ascii="Times New Roman" w:hAnsi="Times New Roman" w:cs="Times New Roman"/>
          <w:sz w:val="24"/>
        </w:rPr>
      </w:pPr>
      <w:r>
        <w:rPr>
          <w:rFonts w:ascii="Times New Roman" w:hAnsi="Times New Roman" w:cs="Times New Roman"/>
          <w:sz w:val="24"/>
        </w:rPr>
        <w:t>（2）替代原则</w:t>
      </w:r>
    </w:p>
    <w:p w14:paraId="1D5249A5">
      <w:pPr>
        <w:pStyle w:val="12"/>
        <w:spacing w:line="360" w:lineRule="auto"/>
        <w:rPr>
          <w:rFonts w:ascii="Times New Roman" w:hAnsi="Times New Roman" w:cs="Times New Roman"/>
          <w:sz w:val="24"/>
        </w:rPr>
      </w:pPr>
      <w:r>
        <w:rPr>
          <w:rFonts w:ascii="Times New Roman" w:hAnsi="Times New Roman" w:cs="Times New Roman"/>
          <w:sz w:val="24"/>
        </w:rPr>
        <w:t>替代原则要求估价结果不得</w:t>
      </w:r>
      <w:r>
        <w:rPr>
          <w:rFonts w:hint="eastAsia" w:ascii="Times New Roman" w:hAnsi="Times New Roman" w:cs="Times New Roman"/>
          <w:sz w:val="24"/>
        </w:rPr>
        <w:t>明显</w:t>
      </w:r>
      <w:r>
        <w:rPr>
          <w:rFonts w:ascii="Times New Roman" w:hAnsi="Times New Roman" w:cs="Times New Roman"/>
          <w:sz w:val="24"/>
        </w:rPr>
        <w:t>偏离类似土地同等条件下的正常价格。</w:t>
      </w:r>
      <w:r>
        <w:rPr>
          <w:rFonts w:hint="eastAsia" w:ascii="Times New Roman" w:hAnsi="Times New Roman" w:cs="Times New Roman"/>
          <w:sz w:val="24"/>
        </w:rPr>
        <w:t>耕地</w:t>
      </w:r>
      <w:r>
        <w:rPr>
          <w:rFonts w:ascii="Times New Roman" w:hAnsi="Times New Roman" w:cs="Times New Roman"/>
          <w:sz w:val="24"/>
        </w:rPr>
        <w:t>评估以近邻地区或类似地区的功能相同、条件相似、交易方式一致的</w:t>
      </w:r>
      <w:r>
        <w:rPr>
          <w:rFonts w:hint="eastAsia" w:ascii="Times New Roman" w:hAnsi="Times New Roman" w:cs="Times New Roman"/>
          <w:sz w:val="24"/>
        </w:rPr>
        <w:t>耕地</w:t>
      </w:r>
      <w:r>
        <w:rPr>
          <w:rFonts w:ascii="Times New Roman" w:hAnsi="Times New Roman" w:cs="Times New Roman"/>
          <w:sz w:val="24"/>
        </w:rPr>
        <w:t>交易实例的市场价格为参考，经比较修正后估算出待估</w:t>
      </w:r>
      <w:r>
        <w:rPr>
          <w:rFonts w:hint="eastAsia" w:ascii="Times New Roman" w:hAnsi="Times New Roman" w:cs="Times New Roman"/>
          <w:sz w:val="24"/>
        </w:rPr>
        <w:t>耕地</w:t>
      </w:r>
      <w:r>
        <w:rPr>
          <w:rFonts w:ascii="Times New Roman" w:hAnsi="Times New Roman" w:cs="Times New Roman"/>
          <w:sz w:val="24"/>
        </w:rPr>
        <w:t>价格。</w:t>
      </w:r>
    </w:p>
    <w:p w14:paraId="7DB4EAC5">
      <w:pPr>
        <w:pStyle w:val="12"/>
        <w:spacing w:line="360" w:lineRule="auto"/>
        <w:rPr>
          <w:rFonts w:ascii="Times New Roman" w:hAnsi="Times New Roman" w:cs="Times New Roman"/>
          <w:sz w:val="24"/>
        </w:rPr>
      </w:pPr>
      <w:r>
        <w:rPr>
          <w:rFonts w:ascii="Times New Roman" w:hAnsi="Times New Roman" w:cs="Times New Roman"/>
          <w:sz w:val="24"/>
        </w:rPr>
        <w:t>（3）合理有效利用原则</w:t>
      </w:r>
    </w:p>
    <w:p w14:paraId="66029CB3">
      <w:pPr>
        <w:pStyle w:val="12"/>
        <w:spacing w:line="360" w:lineRule="auto"/>
        <w:rPr>
          <w:rFonts w:ascii="Times New Roman" w:hAnsi="Times New Roman" w:cs="Times New Roman"/>
          <w:sz w:val="24"/>
        </w:rPr>
      </w:pPr>
      <w:r>
        <w:rPr>
          <w:rFonts w:ascii="Times New Roman" w:hAnsi="Times New Roman" w:cs="Times New Roman"/>
          <w:sz w:val="24"/>
        </w:rPr>
        <w:t>在一定的社会经济条件下，</w:t>
      </w:r>
      <w:r>
        <w:rPr>
          <w:rFonts w:hint="eastAsia" w:ascii="Times New Roman" w:hAnsi="Times New Roman" w:cs="Times New Roman"/>
          <w:sz w:val="24"/>
        </w:rPr>
        <w:t>耕地</w:t>
      </w:r>
      <w:r>
        <w:rPr>
          <w:rFonts w:ascii="Times New Roman" w:hAnsi="Times New Roman" w:cs="Times New Roman"/>
          <w:sz w:val="24"/>
        </w:rPr>
        <w:t>的利用方式需要能充分发挥其土地的效用，产生良好的经济效益，而且要保持土地质量不下降，并对周围的土地利用不会造成负面影响</w:t>
      </w:r>
      <w:r>
        <w:rPr>
          <w:rFonts w:hint="eastAsia" w:ascii="Times New Roman" w:hAnsi="Times New Roman" w:cs="Times New Roman"/>
          <w:sz w:val="24"/>
        </w:rPr>
        <w:t>。</w:t>
      </w:r>
    </w:p>
    <w:p w14:paraId="6646C0BF">
      <w:pPr>
        <w:pStyle w:val="12"/>
        <w:spacing w:line="360" w:lineRule="auto"/>
        <w:ind w:firstLine="360" w:firstLineChars="150"/>
        <w:rPr>
          <w:rFonts w:ascii="Times New Roman" w:hAnsi="Times New Roman" w:cs="Times New Roman"/>
          <w:sz w:val="24"/>
        </w:rPr>
      </w:pPr>
      <w:r>
        <w:rPr>
          <w:rFonts w:ascii="Times New Roman" w:hAnsi="Times New Roman" w:cs="Times New Roman"/>
          <w:sz w:val="24"/>
        </w:rPr>
        <w:t>（4）估价时点原则</w:t>
      </w:r>
    </w:p>
    <w:p w14:paraId="0953D24E">
      <w:pPr>
        <w:pStyle w:val="12"/>
        <w:spacing w:line="360" w:lineRule="auto"/>
        <w:rPr>
          <w:rFonts w:ascii="Times New Roman" w:hAnsi="Times New Roman" w:cs="Times New Roman"/>
          <w:sz w:val="24"/>
        </w:rPr>
      </w:pPr>
      <w:r>
        <w:rPr>
          <w:rFonts w:hint="eastAsia" w:ascii="Times New Roman" w:hAnsi="Times New Roman" w:cs="Times New Roman"/>
          <w:sz w:val="24"/>
        </w:rPr>
        <w:t>耕地</w:t>
      </w:r>
      <w:r>
        <w:rPr>
          <w:rFonts w:ascii="Times New Roman" w:hAnsi="Times New Roman" w:cs="Times New Roman"/>
          <w:sz w:val="24"/>
        </w:rPr>
        <w:t>估价结果是估价对象在估价时点的客观合理价格或价值，估价的结果具有时间相关性和实效性。</w:t>
      </w:r>
    </w:p>
    <w:p w14:paraId="4E719C9A">
      <w:pPr>
        <w:pStyle w:val="12"/>
        <w:spacing w:line="360" w:lineRule="auto"/>
        <w:rPr>
          <w:rFonts w:ascii="Times New Roman" w:hAnsi="Times New Roman" w:cs="Times New Roman"/>
          <w:sz w:val="24"/>
        </w:rPr>
      </w:pPr>
      <w:r>
        <w:rPr>
          <w:rFonts w:ascii="Times New Roman" w:hAnsi="Times New Roman" w:cs="Times New Roman"/>
          <w:sz w:val="24"/>
        </w:rPr>
        <w:t>（5）预期收益原则</w:t>
      </w:r>
    </w:p>
    <w:p w14:paraId="420BE93C">
      <w:pPr>
        <w:pStyle w:val="12"/>
        <w:spacing w:line="360" w:lineRule="auto"/>
        <w:rPr>
          <w:rFonts w:ascii="Times New Roman" w:hAnsi="Times New Roman" w:cs="Times New Roman"/>
          <w:sz w:val="24"/>
        </w:rPr>
      </w:pPr>
      <w:r>
        <w:rPr>
          <w:rFonts w:hint="eastAsia" w:ascii="Times New Roman" w:hAnsi="Times New Roman" w:cs="Times New Roman"/>
          <w:sz w:val="24"/>
        </w:rPr>
        <w:t>耕地</w:t>
      </w:r>
      <w:r>
        <w:rPr>
          <w:rFonts w:ascii="Times New Roman" w:hAnsi="Times New Roman" w:cs="Times New Roman"/>
          <w:sz w:val="24"/>
        </w:rPr>
        <w:t>估价以估价对象在正常利用条件下的未来客观有效的预期收益为依据，在实践中，收益还原法估价中</w:t>
      </w:r>
      <w:r>
        <w:rPr>
          <w:rFonts w:hint="eastAsia" w:ascii="Times New Roman" w:hAnsi="Times New Roman" w:cs="Times New Roman"/>
          <w:sz w:val="24"/>
        </w:rPr>
        <w:t>耕地</w:t>
      </w:r>
      <w:r>
        <w:rPr>
          <w:rFonts w:ascii="Times New Roman" w:hAnsi="Times New Roman" w:cs="Times New Roman"/>
          <w:sz w:val="24"/>
        </w:rPr>
        <w:t>收益的确定，都是</w:t>
      </w:r>
      <w:r>
        <w:rPr>
          <w:rFonts w:hint="eastAsia" w:ascii="Times New Roman" w:hAnsi="Times New Roman" w:cs="Times New Roman"/>
          <w:sz w:val="24"/>
        </w:rPr>
        <w:t>预期</w:t>
      </w:r>
      <w:r>
        <w:rPr>
          <w:rFonts w:ascii="Times New Roman" w:hAnsi="Times New Roman" w:cs="Times New Roman"/>
          <w:sz w:val="24"/>
        </w:rPr>
        <w:t>收益原则的具体体现。</w:t>
      </w:r>
    </w:p>
    <w:p w14:paraId="05E9AB13">
      <w:pPr>
        <w:pStyle w:val="12"/>
        <w:spacing w:line="360" w:lineRule="auto"/>
        <w:rPr>
          <w:rFonts w:ascii="Times New Roman" w:hAnsi="Times New Roman" w:cs="Times New Roman"/>
          <w:sz w:val="24"/>
        </w:rPr>
      </w:pPr>
      <w:r>
        <w:rPr>
          <w:rFonts w:ascii="Times New Roman" w:hAnsi="Times New Roman" w:cs="Times New Roman"/>
          <w:sz w:val="24"/>
        </w:rPr>
        <w:t>（6）供需原则</w:t>
      </w:r>
    </w:p>
    <w:p w14:paraId="26E67B5E">
      <w:pPr>
        <w:pStyle w:val="12"/>
        <w:spacing w:line="360" w:lineRule="auto"/>
        <w:rPr>
          <w:rFonts w:ascii="Times New Roman" w:hAnsi="Times New Roman" w:cs="Times New Roman"/>
          <w:sz w:val="24"/>
        </w:rPr>
      </w:pPr>
      <w:r>
        <w:rPr>
          <w:rFonts w:hint="eastAsia" w:ascii="Times New Roman" w:hAnsi="Times New Roman" w:cs="Times New Roman"/>
          <w:sz w:val="24"/>
        </w:rPr>
        <w:t>耕地</w:t>
      </w:r>
      <w:r>
        <w:rPr>
          <w:rFonts w:ascii="Times New Roman" w:hAnsi="Times New Roman" w:cs="Times New Roman"/>
          <w:sz w:val="24"/>
        </w:rPr>
        <w:t>估价以</w:t>
      </w:r>
      <w:r>
        <w:rPr>
          <w:rFonts w:ascii="宋体" w:hAnsi="宋体"/>
          <w:sz w:val="24"/>
          <w:szCs w:val="24"/>
        </w:rPr>
        <w:t>耕地</w:t>
      </w:r>
      <w:r>
        <w:rPr>
          <w:rFonts w:ascii="Times New Roman" w:hAnsi="Times New Roman" w:cs="Times New Roman"/>
          <w:sz w:val="24"/>
        </w:rPr>
        <w:t>市场供需决定</w:t>
      </w:r>
      <w:r>
        <w:rPr>
          <w:rFonts w:hint="eastAsia" w:ascii="Times New Roman" w:hAnsi="Times New Roman" w:cs="Times New Roman"/>
          <w:sz w:val="24"/>
        </w:rPr>
        <w:t>耕地</w:t>
      </w:r>
      <w:r>
        <w:rPr>
          <w:rFonts w:ascii="Times New Roman" w:hAnsi="Times New Roman" w:cs="Times New Roman"/>
          <w:sz w:val="24"/>
        </w:rPr>
        <w:t>价格为依据，同时充分考虑</w:t>
      </w:r>
      <w:r>
        <w:rPr>
          <w:rFonts w:hint="eastAsia" w:ascii="Times New Roman" w:hAnsi="Times New Roman" w:cs="Times New Roman"/>
          <w:sz w:val="24"/>
        </w:rPr>
        <w:t>耕地</w:t>
      </w:r>
      <w:r>
        <w:rPr>
          <w:rFonts w:ascii="Times New Roman" w:hAnsi="Times New Roman" w:cs="Times New Roman"/>
          <w:sz w:val="24"/>
        </w:rPr>
        <w:t>供需的特殊性进而考虑</w:t>
      </w:r>
      <w:r>
        <w:rPr>
          <w:rFonts w:hint="eastAsia" w:ascii="Times New Roman" w:hAnsi="Times New Roman" w:cs="Times New Roman"/>
          <w:sz w:val="24"/>
        </w:rPr>
        <w:t>耕地</w:t>
      </w:r>
      <w:r>
        <w:rPr>
          <w:rFonts w:ascii="Times New Roman" w:hAnsi="Times New Roman" w:cs="Times New Roman"/>
          <w:sz w:val="24"/>
        </w:rPr>
        <w:t>市场的地域性。</w:t>
      </w:r>
    </w:p>
    <w:p w14:paraId="68C292DE">
      <w:pPr>
        <w:pStyle w:val="12"/>
        <w:spacing w:line="360" w:lineRule="auto"/>
        <w:rPr>
          <w:rFonts w:ascii="Times New Roman" w:hAnsi="Times New Roman" w:cs="Times New Roman"/>
          <w:sz w:val="24"/>
        </w:rPr>
      </w:pPr>
      <w:r>
        <w:rPr>
          <w:rFonts w:ascii="Times New Roman" w:hAnsi="Times New Roman" w:cs="Times New Roman"/>
          <w:sz w:val="24"/>
        </w:rPr>
        <w:t>（7）报酬递增递减原则</w:t>
      </w:r>
    </w:p>
    <w:p w14:paraId="67566BDE">
      <w:pPr>
        <w:pStyle w:val="12"/>
        <w:spacing w:line="360" w:lineRule="auto"/>
        <w:rPr>
          <w:rFonts w:ascii="Times New Roman" w:hAnsi="Times New Roman" w:cs="Times New Roman"/>
          <w:sz w:val="24"/>
        </w:rPr>
      </w:pPr>
      <w:r>
        <w:rPr>
          <w:rFonts w:ascii="Times New Roman" w:hAnsi="Times New Roman" w:cs="Times New Roman"/>
          <w:sz w:val="24"/>
        </w:rPr>
        <w:t>在技术不变，其他要素不变的前提下，对相同面积的土地不断追加某种要素的投入所带来的报酬增量（边际报酬）</w:t>
      </w:r>
      <w:r>
        <w:rPr>
          <w:rFonts w:hint="eastAsia" w:ascii="Times New Roman" w:hAnsi="Times New Roman" w:cs="Times New Roman"/>
          <w:sz w:val="24"/>
        </w:rPr>
        <w:t>会在达到某一数值后</w:t>
      </w:r>
      <w:r>
        <w:rPr>
          <w:rFonts w:ascii="Times New Roman" w:hAnsi="Times New Roman" w:cs="Times New Roman"/>
          <w:sz w:val="24"/>
        </w:rPr>
        <w:t>下降。这一规律在农业生产经营中普遍存在。估价中充分依据这一原则。</w:t>
      </w:r>
    </w:p>
    <w:p w14:paraId="05FAB8F4">
      <w:pPr>
        <w:pStyle w:val="12"/>
        <w:spacing w:line="360" w:lineRule="auto"/>
        <w:rPr>
          <w:rFonts w:ascii="Times New Roman" w:hAnsi="Times New Roman" w:cs="Times New Roman"/>
          <w:sz w:val="24"/>
        </w:rPr>
      </w:pPr>
      <w:r>
        <w:rPr>
          <w:rFonts w:ascii="Times New Roman" w:hAnsi="Times New Roman" w:cs="Times New Roman"/>
          <w:sz w:val="24"/>
        </w:rPr>
        <w:t>（8）贡献原则</w:t>
      </w:r>
    </w:p>
    <w:p w14:paraId="76B25A05">
      <w:pPr>
        <w:pStyle w:val="12"/>
        <w:spacing w:line="360" w:lineRule="auto"/>
        <w:rPr>
          <w:rFonts w:ascii="Times New Roman" w:hAnsi="Times New Roman" w:cs="Times New Roman"/>
          <w:sz w:val="24"/>
        </w:rPr>
      </w:pPr>
      <w:r>
        <w:rPr>
          <w:rFonts w:hint="eastAsia" w:ascii="Times New Roman" w:hAnsi="Times New Roman" w:cs="Times New Roman"/>
          <w:sz w:val="24"/>
        </w:rPr>
        <w:t>耕地</w:t>
      </w:r>
      <w:r>
        <w:rPr>
          <w:rFonts w:ascii="Times New Roman" w:hAnsi="Times New Roman" w:cs="Times New Roman"/>
          <w:sz w:val="24"/>
        </w:rPr>
        <w:t>的总收益是由土地、劳动力、资本、经营管理等各种投入要素共同作用的结果，估价时要充分考虑上述各要素对</w:t>
      </w:r>
      <w:r>
        <w:rPr>
          <w:rFonts w:hint="eastAsia" w:ascii="Times New Roman" w:hAnsi="Times New Roman" w:cs="Times New Roman"/>
          <w:sz w:val="24"/>
        </w:rPr>
        <w:t>耕地</w:t>
      </w:r>
      <w:r>
        <w:rPr>
          <w:rFonts w:ascii="Times New Roman" w:hAnsi="Times New Roman" w:cs="Times New Roman"/>
          <w:sz w:val="24"/>
        </w:rPr>
        <w:t>总收益的实际贡献水平。</w:t>
      </w:r>
    </w:p>
    <w:p w14:paraId="7F173C38">
      <w:pPr>
        <w:pStyle w:val="12"/>
        <w:spacing w:line="360" w:lineRule="auto"/>
        <w:rPr>
          <w:rFonts w:ascii="Times New Roman" w:hAnsi="Times New Roman" w:cs="Times New Roman"/>
          <w:sz w:val="24"/>
        </w:rPr>
      </w:pPr>
      <w:r>
        <w:rPr>
          <w:rFonts w:ascii="Times New Roman" w:hAnsi="Times New Roman" w:cs="Times New Roman"/>
          <w:sz w:val="24"/>
        </w:rPr>
        <w:t>（9）变动原则</w:t>
      </w:r>
    </w:p>
    <w:p w14:paraId="209B4A47">
      <w:pPr>
        <w:pStyle w:val="12"/>
        <w:spacing w:line="360" w:lineRule="auto"/>
        <w:rPr>
          <w:rFonts w:ascii="Times New Roman" w:hAnsi="Times New Roman" w:cs="Times New Roman"/>
          <w:sz w:val="24"/>
        </w:rPr>
      </w:pPr>
      <w:r>
        <w:rPr>
          <w:rFonts w:hint="eastAsia" w:ascii="Times New Roman" w:hAnsi="Times New Roman" w:cs="Times New Roman"/>
          <w:sz w:val="24"/>
        </w:rPr>
        <w:t>耕地</w:t>
      </w:r>
      <w:r>
        <w:rPr>
          <w:rFonts w:ascii="Times New Roman" w:hAnsi="Times New Roman" w:cs="Times New Roman"/>
          <w:sz w:val="24"/>
        </w:rPr>
        <w:t>价格是由各种价格影响因素互相作用而形成的。估价人员要把握价格影响因素及价格变动规律，准确地评估价格。</w:t>
      </w:r>
    </w:p>
    <w:p w14:paraId="05CB2526">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54" w:name="_Toc532725083"/>
      <w:bookmarkStart w:id="55" w:name="_Toc47384590"/>
      <w:r>
        <w:rPr>
          <w:rFonts w:hint="eastAsia" w:ascii="宋体" w:hAnsi="宋体"/>
          <w:bCs/>
          <w:kern w:val="2"/>
          <w:szCs w:val="28"/>
        </w:rPr>
        <w:t>2</w:t>
      </w:r>
      <w:r>
        <w:rPr>
          <w:rFonts w:ascii="宋体" w:hAnsi="宋体"/>
          <w:bCs/>
          <w:kern w:val="2"/>
          <w:szCs w:val="28"/>
        </w:rPr>
        <w:t>.2 评估技术路线</w:t>
      </w:r>
      <w:bookmarkEnd w:id="54"/>
      <w:bookmarkEnd w:id="55"/>
    </w:p>
    <w:p w14:paraId="4191A983">
      <w:pPr>
        <w:pStyle w:val="12"/>
        <w:spacing w:line="360" w:lineRule="auto"/>
        <w:ind w:firstLine="480" w:firstLineChars="200"/>
        <w:rPr>
          <w:rFonts w:ascii="Times New Roman" w:hAnsi="Times New Roman" w:cs="Times New Roman"/>
          <w:sz w:val="24"/>
        </w:rPr>
      </w:pPr>
      <w:r>
        <w:rPr>
          <w:rFonts w:hint="eastAsia" w:ascii="Times New Roman" w:hAnsi="Times New Roman" w:cs="Times New Roman"/>
          <w:sz w:val="24"/>
        </w:rPr>
        <w:t>农用地</w:t>
      </w:r>
      <w:r>
        <w:rPr>
          <w:rFonts w:ascii="Times New Roman" w:hAnsi="Times New Roman" w:cs="Times New Roman"/>
          <w:sz w:val="24"/>
        </w:rPr>
        <w:t>定级是指对特定区域的农业用地，采用多种因素对其特性进行综合评估并使其等级化的过程，它侧重于反映因</w:t>
      </w:r>
      <w:r>
        <w:rPr>
          <w:rFonts w:hint="eastAsia" w:ascii="Times New Roman" w:hAnsi="Times New Roman" w:cs="Times New Roman"/>
          <w:sz w:val="24"/>
        </w:rPr>
        <w:t>农用地</w:t>
      </w:r>
      <w:r>
        <w:rPr>
          <w:rFonts w:ascii="Times New Roman" w:hAnsi="Times New Roman" w:cs="Times New Roman"/>
          <w:sz w:val="24"/>
        </w:rPr>
        <w:t>现实的（或实际可能的)区域自然质量、利用和效益水平的不同而造成的农用地生产力水平的差异。按照《农用地定级规程》（GB/T28405-2012）、《农用地估价规程》（GB/T28406-2012）、《湖北省公示地价体系建设技术规范（试行）》和《湖北省公示地价体系数据库标准（试行）》的要求，结合鄂州市实际情况，分别从国有农用地土地定级与基准地价评估两方面开展工作，整体技术路线如下所示：</w:t>
      </w:r>
    </w:p>
    <w:p w14:paraId="41EE703F">
      <w:pPr>
        <w:pStyle w:val="12"/>
        <w:ind w:firstLine="0"/>
        <w:rPr>
          <w:rFonts w:ascii="Times New Roman" w:hAnsi="Times New Roman" w:cs="Times New Roman"/>
        </w:rPr>
      </w:pPr>
      <w:r>
        <w:rPr>
          <w:rFonts w:ascii="Times New Roman" w:hAnsi="Times New Roman" w:cs="Times New Roman"/>
        </w:rPr>
        <w:drawing>
          <wp:inline distT="0" distB="0" distL="0" distR="0">
            <wp:extent cx="5316220" cy="591185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316220" cy="5911850"/>
                    </a:xfrm>
                    <a:prstGeom prst="rect">
                      <a:avLst/>
                    </a:prstGeom>
                    <a:noFill/>
                    <a:ln>
                      <a:noFill/>
                    </a:ln>
                  </pic:spPr>
                </pic:pic>
              </a:graphicData>
            </a:graphic>
          </wp:inline>
        </w:drawing>
      </w:r>
    </w:p>
    <w:p w14:paraId="371069DC">
      <w:pPr>
        <w:ind w:firstLine="422"/>
        <w:jc w:val="center"/>
        <w:rPr>
          <w:b/>
          <w:szCs w:val="21"/>
        </w:rPr>
      </w:pPr>
      <w:bookmarkStart w:id="56" w:name="_Toc8013_WPSOffice_Level3"/>
      <w:r>
        <w:rPr>
          <w:b/>
          <w:szCs w:val="21"/>
        </w:rPr>
        <w:t>图2-1鄂州市国有农用地级别与基准地价评估技术路线图</w:t>
      </w:r>
      <w:bookmarkEnd w:id="56"/>
    </w:p>
    <w:p w14:paraId="0B079ACA">
      <w:pPr>
        <w:pStyle w:val="4"/>
        <w:widowControl w:val="0"/>
        <w:tabs>
          <w:tab w:val="left" w:pos="720"/>
        </w:tabs>
        <w:spacing w:before="120" w:after="120" w:line="500" w:lineRule="exact"/>
        <w:ind w:left="826" w:hanging="826"/>
        <w:jc w:val="both"/>
        <w:rPr>
          <w:rFonts w:ascii="宋体" w:hAnsi="宋体"/>
          <w:sz w:val="24"/>
          <w:szCs w:val="24"/>
        </w:rPr>
      </w:pPr>
      <w:bookmarkStart w:id="57" w:name="_Toc47384591"/>
      <w:bookmarkStart w:id="58" w:name="_Toc534833322"/>
      <w:bookmarkStart w:id="59" w:name="_Toc535399900"/>
      <w:r>
        <w:rPr>
          <w:rFonts w:hint="eastAsia" w:ascii="宋体" w:hAnsi="宋体"/>
          <w:sz w:val="24"/>
          <w:szCs w:val="24"/>
        </w:rPr>
        <w:t>2</w:t>
      </w:r>
      <w:r>
        <w:rPr>
          <w:rFonts w:ascii="宋体" w:hAnsi="宋体"/>
          <w:sz w:val="24"/>
          <w:szCs w:val="24"/>
        </w:rPr>
        <w:t>.2.1 国有农用地定级</w:t>
      </w:r>
      <w:bookmarkEnd w:id="57"/>
      <w:bookmarkEnd w:id="58"/>
      <w:bookmarkEnd w:id="59"/>
    </w:p>
    <w:p w14:paraId="45924E5E">
      <w:pPr>
        <w:spacing w:line="360" w:lineRule="auto"/>
        <w:ind w:firstLine="480" w:firstLineChars="200"/>
        <w:rPr>
          <w:sz w:val="24"/>
        </w:rPr>
      </w:pPr>
      <w:bookmarkStart w:id="60" w:name="_Toc532725085"/>
      <w:r>
        <w:rPr>
          <w:sz w:val="24"/>
        </w:rPr>
        <w:t>《农用地估价规程》中推荐的</w:t>
      </w:r>
      <w:r>
        <w:rPr>
          <w:rFonts w:hint="eastAsia"/>
          <w:sz w:val="24"/>
        </w:rPr>
        <w:t>国有农用地</w:t>
      </w:r>
      <w:r>
        <w:rPr>
          <w:sz w:val="24"/>
        </w:rPr>
        <w:t>定级的技术方法主要</w:t>
      </w:r>
      <w:r>
        <w:rPr>
          <w:rFonts w:hint="eastAsia"/>
          <w:sz w:val="24"/>
        </w:rPr>
        <w:t>有</w:t>
      </w:r>
      <w:r>
        <w:rPr>
          <w:sz w:val="24"/>
        </w:rPr>
        <w:t>因素法、修正法和样地法。</w:t>
      </w:r>
    </w:p>
    <w:p w14:paraId="04EE61F9">
      <w:pPr>
        <w:spacing w:line="360" w:lineRule="auto"/>
        <w:ind w:firstLine="480" w:firstLineChars="200"/>
        <w:rPr>
          <w:sz w:val="24"/>
        </w:rPr>
      </w:pPr>
      <w:r>
        <w:rPr>
          <w:sz w:val="24"/>
        </w:rPr>
        <w:t>因素法是通过对构成土地质量的自然因素和社会经济因素的综合分析，确定因素因子体系及其影响权重，计算单元因素总分值，以此为依据客观评定</w:t>
      </w:r>
      <w:r>
        <w:rPr>
          <w:rFonts w:ascii="宋体" w:hAnsi="宋体"/>
          <w:sz w:val="24"/>
        </w:rPr>
        <w:t>国有农用地</w:t>
      </w:r>
      <w:r>
        <w:rPr>
          <w:sz w:val="24"/>
        </w:rPr>
        <w:t>级别的方法；修正法是在</w:t>
      </w:r>
      <w:r>
        <w:rPr>
          <w:rFonts w:ascii="宋体" w:hAnsi="宋体"/>
          <w:sz w:val="24"/>
        </w:rPr>
        <w:t>国有农用地</w:t>
      </w:r>
      <w:r>
        <w:rPr>
          <w:sz w:val="24"/>
        </w:rPr>
        <w:t>分等指数的基础上，根据定级目的，选择区位条件、耕作便利度等因素计算修正系数，对分等成果进行修正评定出</w:t>
      </w:r>
      <w:r>
        <w:rPr>
          <w:rFonts w:ascii="宋体" w:hAnsi="宋体"/>
          <w:sz w:val="24"/>
        </w:rPr>
        <w:t>耕地</w:t>
      </w:r>
      <w:r>
        <w:rPr>
          <w:sz w:val="24"/>
        </w:rPr>
        <w:t>级别的方法；样地法是以选定的标准样地为参照，建立特征属性计分规则，通过比较计算定级单元特征属性分值，评定土地级别的方法。</w:t>
      </w:r>
    </w:p>
    <w:p w14:paraId="2725E2ED">
      <w:pPr>
        <w:spacing w:line="360" w:lineRule="auto"/>
        <w:ind w:firstLine="480" w:firstLineChars="200"/>
        <w:rPr>
          <w:szCs w:val="21"/>
        </w:rPr>
      </w:pPr>
      <w:r>
        <w:rPr>
          <w:sz w:val="24"/>
        </w:rPr>
        <w:t>在进行鄂州市国有农用地定级过程中，综合各方法的优缺点，采用因素法划分</w:t>
      </w:r>
      <w:r>
        <w:rPr>
          <w:rFonts w:ascii="宋体" w:hAnsi="宋体"/>
          <w:sz w:val="24"/>
        </w:rPr>
        <w:t>国有农用地</w:t>
      </w:r>
      <w:r>
        <w:rPr>
          <w:sz w:val="24"/>
        </w:rPr>
        <w:t>的级别。通过选择影响</w:t>
      </w:r>
      <w:r>
        <w:rPr>
          <w:rFonts w:ascii="宋体" w:hAnsi="宋体"/>
          <w:sz w:val="24"/>
        </w:rPr>
        <w:t>国有农用地</w:t>
      </w:r>
      <w:r>
        <w:rPr>
          <w:sz w:val="24"/>
        </w:rPr>
        <w:t>级别的因素、因子，确定其对</w:t>
      </w:r>
      <w:r>
        <w:rPr>
          <w:rFonts w:ascii="宋体" w:hAnsi="宋体"/>
          <w:sz w:val="24"/>
        </w:rPr>
        <w:t>国有农用地</w:t>
      </w:r>
      <w:r>
        <w:rPr>
          <w:sz w:val="24"/>
        </w:rPr>
        <w:t>质量的影响程度(权重)和作用分值的高低，编制</w:t>
      </w:r>
      <w:r>
        <w:rPr>
          <w:rFonts w:ascii="宋体" w:hAnsi="宋体"/>
          <w:sz w:val="24"/>
        </w:rPr>
        <w:t>国有农用地</w:t>
      </w:r>
      <w:r>
        <w:rPr>
          <w:sz w:val="24"/>
        </w:rPr>
        <w:t>质量评价诊断指标体系，对评价对象进行定性、定量、定位评价。</w:t>
      </w:r>
    </w:p>
    <w:p w14:paraId="1165F718">
      <w:pPr>
        <w:pStyle w:val="4"/>
        <w:widowControl w:val="0"/>
        <w:tabs>
          <w:tab w:val="left" w:pos="720"/>
        </w:tabs>
        <w:spacing w:before="120" w:after="120" w:line="500" w:lineRule="exact"/>
        <w:ind w:left="826" w:hanging="826"/>
        <w:jc w:val="both"/>
        <w:rPr>
          <w:rFonts w:ascii="宋体" w:hAnsi="宋体"/>
          <w:sz w:val="24"/>
          <w:szCs w:val="24"/>
        </w:rPr>
      </w:pPr>
      <w:bookmarkStart w:id="61" w:name="_Toc535399901"/>
      <w:bookmarkStart w:id="62" w:name="_Toc47384592"/>
      <w:bookmarkStart w:id="63" w:name="_Toc534833323"/>
      <w:r>
        <w:rPr>
          <w:rFonts w:hint="eastAsia" w:ascii="宋体" w:hAnsi="宋体"/>
          <w:sz w:val="24"/>
          <w:szCs w:val="24"/>
        </w:rPr>
        <w:t>2</w:t>
      </w:r>
      <w:r>
        <w:rPr>
          <w:rFonts w:ascii="宋体" w:hAnsi="宋体"/>
          <w:sz w:val="24"/>
          <w:szCs w:val="24"/>
        </w:rPr>
        <w:t>.2.2 国有农用地基准地价评估</w:t>
      </w:r>
      <w:bookmarkEnd w:id="60"/>
      <w:bookmarkEnd w:id="61"/>
      <w:bookmarkEnd w:id="62"/>
      <w:bookmarkEnd w:id="63"/>
    </w:p>
    <w:p w14:paraId="0B2EBF6C">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根据《农用地估价规程》和《湖北省公示地价体系建设技术规范（试行）》规定，基准地价的全面评估有两种技术途径：一是以土地定级（或根据影响地价的土地条件和因素划分均质地域）为基础，利用市场交易价格等资料评估基准地价；二是以土地定级为基础，土地收益为依据，市场交易资料为参考评估基准地价。近年来，鄂州市土地市场日益活跃，逐渐积累的交易样点为国有农用地基准地价评估提供了一定数量的样点支撑。因此，本次鄂州市国有农用地基准地价评估技术路线为：以土地定级（或均质地域）为基础，市场交易资料为参考，进行国有农用地基准地价评估。</w:t>
      </w:r>
      <w:bookmarkStart w:id="64" w:name="_Toc532725087"/>
    </w:p>
    <w:p w14:paraId="7DAC09ED">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65" w:name="_Toc47384593"/>
      <w:r>
        <w:rPr>
          <w:rFonts w:hint="eastAsia" w:ascii="宋体" w:hAnsi="宋体"/>
          <w:bCs/>
          <w:kern w:val="2"/>
          <w:szCs w:val="28"/>
        </w:rPr>
        <w:t>2</w:t>
      </w:r>
      <w:r>
        <w:rPr>
          <w:rFonts w:ascii="宋体" w:hAnsi="宋体"/>
          <w:bCs/>
          <w:kern w:val="2"/>
          <w:szCs w:val="28"/>
        </w:rPr>
        <w:t>.3 资料收集与外业调查</w:t>
      </w:r>
      <w:bookmarkEnd w:id="64"/>
      <w:bookmarkEnd w:id="65"/>
    </w:p>
    <w:p w14:paraId="4E271B9D">
      <w:pPr>
        <w:pStyle w:val="4"/>
        <w:widowControl w:val="0"/>
        <w:tabs>
          <w:tab w:val="left" w:pos="720"/>
        </w:tabs>
        <w:spacing w:before="120" w:after="120" w:line="500" w:lineRule="exact"/>
        <w:ind w:left="826" w:hanging="826"/>
        <w:jc w:val="both"/>
        <w:rPr>
          <w:rFonts w:ascii="宋体" w:hAnsi="宋体"/>
          <w:sz w:val="24"/>
          <w:szCs w:val="24"/>
        </w:rPr>
      </w:pPr>
      <w:bookmarkStart w:id="66" w:name="_Toc532725088"/>
      <w:bookmarkStart w:id="67" w:name="_Toc534833326"/>
      <w:bookmarkStart w:id="68" w:name="_Toc47384594"/>
      <w:bookmarkStart w:id="69" w:name="_Toc535399903"/>
      <w:r>
        <w:rPr>
          <w:rFonts w:hint="eastAsia" w:ascii="宋体" w:hAnsi="宋体"/>
          <w:sz w:val="24"/>
          <w:szCs w:val="24"/>
        </w:rPr>
        <w:t>2</w:t>
      </w:r>
      <w:r>
        <w:rPr>
          <w:rFonts w:ascii="宋体" w:hAnsi="宋体"/>
          <w:sz w:val="24"/>
          <w:szCs w:val="24"/>
        </w:rPr>
        <w:t>.3.1 资料调查的原则和要求</w:t>
      </w:r>
      <w:bookmarkEnd w:id="66"/>
      <w:bookmarkEnd w:id="67"/>
      <w:bookmarkEnd w:id="68"/>
      <w:bookmarkEnd w:id="69"/>
    </w:p>
    <w:p w14:paraId="7FAFF166">
      <w:pPr>
        <w:pStyle w:val="180"/>
        <w:ind w:firstLine="480"/>
      </w:pPr>
      <w:r>
        <w:rPr>
          <w:rFonts w:hint="eastAsia"/>
        </w:rPr>
        <w:t>（1）</w:t>
      </w:r>
      <w:r>
        <w:t>资料调查原则</w:t>
      </w:r>
    </w:p>
    <w:p w14:paraId="2A17A035">
      <w:pPr>
        <w:spacing w:line="500" w:lineRule="exact"/>
        <w:ind w:firstLine="480" w:firstLineChars="200"/>
        <w:rPr>
          <w:sz w:val="24"/>
        </w:rPr>
      </w:pPr>
      <w:r>
        <w:rPr>
          <w:sz w:val="24"/>
        </w:rPr>
        <w:t>资料调查是国有农用地土地级别与基准地价评估工作的首要环节。为减少资料调查的盲目性，提高资料数据的可靠性和工作效率，本次调查资料主要遵循以下基本原则：</w:t>
      </w:r>
    </w:p>
    <w:p w14:paraId="3B9E0ADC">
      <w:pPr>
        <w:spacing w:line="500" w:lineRule="exact"/>
        <w:ind w:firstLine="480" w:firstLineChars="200"/>
        <w:rPr>
          <w:sz w:val="24"/>
        </w:rPr>
      </w:pPr>
      <w:r>
        <w:rPr>
          <w:rFonts w:hint="eastAsia" w:ascii="宋体" w:hAnsi="宋体"/>
          <w:sz w:val="24"/>
        </w:rPr>
        <w:t>①</w:t>
      </w:r>
      <w:r>
        <w:rPr>
          <w:sz w:val="24"/>
        </w:rPr>
        <w:t>综合性原则：由于土地定级估价的综合性，因此必须尽可能地收集到相关资料，做到既全面，又准确；既有数据、图表资料，又有文字说明资料等；</w:t>
      </w:r>
    </w:p>
    <w:p w14:paraId="3B355851">
      <w:pPr>
        <w:spacing w:line="500" w:lineRule="exact"/>
        <w:ind w:firstLine="480" w:firstLineChars="200"/>
        <w:rPr>
          <w:sz w:val="24"/>
        </w:rPr>
      </w:pPr>
      <w:r>
        <w:rPr>
          <w:rFonts w:hint="eastAsia" w:ascii="宋体" w:hAnsi="宋体"/>
          <w:sz w:val="24"/>
        </w:rPr>
        <w:t>②</w:t>
      </w:r>
      <w:r>
        <w:rPr>
          <w:sz w:val="24"/>
        </w:rPr>
        <w:t>典型性原则：调查收集的资料应具有典型性、代表性，能客观反映地价水平的高低；</w:t>
      </w:r>
    </w:p>
    <w:p w14:paraId="13A546C5">
      <w:pPr>
        <w:spacing w:line="500" w:lineRule="exact"/>
        <w:ind w:firstLine="480" w:firstLineChars="200"/>
        <w:rPr>
          <w:sz w:val="24"/>
        </w:rPr>
      </w:pPr>
      <w:r>
        <w:rPr>
          <w:rFonts w:hint="eastAsia" w:ascii="宋体" w:hAnsi="宋体"/>
          <w:sz w:val="24"/>
        </w:rPr>
        <w:t>③</w:t>
      </w:r>
      <w:r>
        <w:rPr>
          <w:sz w:val="24"/>
        </w:rPr>
        <w:t>地域差异性原则：调查、收集的资料应能在总体上揭示反映土地质量、土地收益、土地价格的分异规律；</w:t>
      </w:r>
    </w:p>
    <w:p w14:paraId="75230BDB">
      <w:pPr>
        <w:spacing w:line="500" w:lineRule="exact"/>
        <w:ind w:firstLine="480" w:firstLineChars="200"/>
        <w:rPr>
          <w:sz w:val="24"/>
        </w:rPr>
      </w:pPr>
      <w:r>
        <w:rPr>
          <w:rFonts w:hint="eastAsia" w:ascii="宋体" w:hAnsi="宋体"/>
          <w:sz w:val="24"/>
        </w:rPr>
        <w:t>④</w:t>
      </w:r>
      <w:r>
        <w:rPr>
          <w:sz w:val="24"/>
        </w:rPr>
        <w:t>可比性原则：调查收集的资料尽可能广泛、真实，统计口径尽可能一致，以便使资料具有更强的可比性；</w:t>
      </w:r>
    </w:p>
    <w:p w14:paraId="756AD2F4">
      <w:pPr>
        <w:spacing w:line="500" w:lineRule="exact"/>
        <w:ind w:firstLine="480" w:firstLineChars="200"/>
        <w:rPr>
          <w:sz w:val="24"/>
        </w:rPr>
      </w:pPr>
      <w:r>
        <w:rPr>
          <w:rFonts w:hint="eastAsia" w:ascii="宋体" w:hAnsi="宋体"/>
          <w:sz w:val="24"/>
        </w:rPr>
        <w:t>⑤</w:t>
      </w:r>
      <w:r>
        <w:rPr>
          <w:sz w:val="24"/>
        </w:rPr>
        <w:t>市场准则性原则：调查收集资料尽可能直接反映土地利用效益、地价水平的土地流转、买卖，土地使用权出让、转让、入股、联建、联营、抵押等土地市场资料信息；</w:t>
      </w:r>
    </w:p>
    <w:p w14:paraId="24B1810D">
      <w:pPr>
        <w:spacing w:line="500" w:lineRule="exact"/>
        <w:ind w:firstLine="480" w:firstLineChars="200"/>
        <w:rPr>
          <w:sz w:val="24"/>
        </w:rPr>
      </w:pPr>
      <w:r>
        <w:rPr>
          <w:rFonts w:hint="eastAsia"/>
          <w:sz w:val="24"/>
        </w:rPr>
        <w:t>⑥</w:t>
      </w:r>
      <w:r>
        <w:rPr>
          <w:sz w:val="24"/>
        </w:rPr>
        <w:t>时间性原则：调查收集资料尽可能反映过去、目前及未来土地利用效益的变化状况，一些社会经济资料，应收集连续几年的数据，具有一定的历史性和有序性，以便于地价动态变化规律的分析。</w:t>
      </w:r>
    </w:p>
    <w:p w14:paraId="355F1A0F">
      <w:pPr>
        <w:pStyle w:val="180"/>
        <w:ind w:firstLine="480"/>
      </w:pPr>
      <w:r>
        <w:rPr>
          <w:rFonts w:hint="eastAsia"/>
        </w:rPr>
        <w:t>（2）</w:t>
      </w:r>
      <w:r>
        <w:t>资料调查的要求</w:t>
      </w:r>
    </w:p>
    <w:p w14:paraId="57DA571B">
      <w:pPr>
        <w:spacing w:line="500" w:lineRule="exact"/>
        <w:ind w:firstLine="480" w:firstLineChars="200"/>
        <w:rPr>
          <w:sz w:val="24"/>
        </w:rPr>
      </w:pPr>
      <w:r>
        <w:rPr>
          <w:rFonts w:hint="eastAsia" w:ascii="宋体" w:hAnsi="宋体"/>
          <w:sz w:val="24"/>
        </w:rPr>
        <w:t>①</w:t>
      </w:r>
      <w:r>
        <w:rPr>
          <w:sz w:val="24"/>
        </w:rPr>
        <w:t>调查、收集的有关地价资料应按实地位置标注于工作底图上；</w:t>
      </w:r>
    </w:p>
    <w:p w14:paraId="53889321">
      <w:pPr>
        <w:spacing w:line="500" w:lineRule="exact"/>
        <w:ind w:firstLine="480" w:firstLineChars="200"/>
        <w:rPr>
          <w:sz w:val="24"/>
        </w:rPr>
      </w:pPr>
      <w:r>
        <w:rPr>
          <w:rFonts w:hint="eastAsia" w:ascii="宋体" w:hAnsi="宋体"/>
          <w:sz w:val="24"/>
        </w:rPr>
        <w:t>②</w:t>
      </w:r>
      <w:r>
        <w:rPr>
          <w:sz w:val="24"/>
        </w:rPr>
        <w:t>调查以土地级别或均质地域进行；</w:t>
      </w:r>
    </w:p>
    <w:p w14:paraId="5D4F6B6B">
      <w:pPr>
        <w:spacing w:line="500" w:lineRule="exact"/>
        <w:ind w:firstLine="480" w:firstLineChars="200"/>
        <w:rPr>
          <w:sz w:val="24"/>
        </w:rPr>
      </w:pPr>
      <w:r>
        <w:rPr>
          <w:rFonts w:hint="eastAsia" w:ascii="宋体" w:hAnsi="宋体"/>
          <w:sz w:val="24"/>
        </w:rPr>
        <w:t>③</w:t>
      </w:r>
      <w:r>
        <w:rPr>
          <w:sz w:val="24"/>
        </w:rPr>
        <w:t>地价样本选取应采用分类不等比抽样，样本数应符合数理统计要求；</w:t>
      </w:r>
    </w:p>
    <w:p w14:paraId="3A13AD0D">
      <w:pPr>
        <w:spacing w:line="500" w:lineRule="exact"/>
        <w:ind w:firstLine="480" w:firstLineChars="200"/>
        <w:rPr>
          <w:sz w:val="24"/>
        </w:rPr>
      </w:pPr>
      <w:r>
        <w:rPr>
          <w:rFonts w:hint="eastAsia" w:ascii="宋体" w:hAnsi="宋体"/>
          <w:sz w:val="24"/>
        </w:rPr>
        <w:t>④</w:t>
      </w:r>
      <w:r>
        <w:rPr>
          <w:sz w:val="24"/>
        </w:rPr>
        <w:t>样本应具代表性，且原则上分布均匀；</w:t>
      </w:r>
    </w:p>
    <w:p w14:paraId="659C1E51">
      <w:pPr>
        <w:spacing w:line="500" w:lineRule="exact"/>
        <w:ind w:firstLine="480" w:firstLineChars="200"/>
        <w:rPr>
          <w:sz w:val="24"/>
        </w:rPr>
      </w:pPr>
      <w:r>
        <w:rPr>
          <w:rFonts w:hint="eastAsia" w:ascii="宋体" w:hAnsi="宋体"/>
          <w:sz w:val="24"/>
        </w:rPr>
        <w:t>⑤</w:t>
      </w:r>
      <w:r>
        <w:rPr>
          <w:sz w:val="24"/>
        </w:rPr>
        <w:t>所选样本应能同时获得地价或土地利用效益和相对应的土地条件资料；</w:t>
      </w:r>
    </w:p>
    <w:p w14:paraId="4F92346D">
      <w:pPr>
        <w:spacing w:line="500" w:lineRule="exact"/>
        <w:ind w:firstLine="480" w:firstLineChars="200"/>
        <w:rPr>
          <w:sz w:val="24"/>
        </w:rPr>
      </w:pPr>
      <w:r>
        <w:rPr>
          <w:rFonts w:hint="eastAsia"/>
          <w:sz w:val="24"/>
        </w:rPr>
        <w:t>⑥</w:t>
      </w:r>
      <w:r>
        <w:rPr>
          <w:sz w:val="24"/>
        </w:rPr>
        <w:t>土地利用效益等经济资料应不少于近期连续两年的数据；</w:t>
      </w:r>
    </w:p>
    <w:p w14:paraId="231A71E7">
      <w:pPr>
        <w:spacing w:line="500" w:lineRule="exact"/>
        <w:ind w:firstLine="480" w:firstLineChars="200"/>
        <w:rPr>
          <w:sz w:val="24"/>
        </w:rPr>
      </w:pPr>
      <w:r>
        <w:rPr>
          <w:rFonts w:hint="eastAsia"/>
          <w:sz w:val="24"/>
        </w:rPr>
        <w:t>⑦</w:t>
      </w:r>
      <w:r>
        <w:rPr>
          <w:sz w:val="24"/>
        </w:rPr>
        <w:t>调查资料应填入相应的调查表格；</w:t>
      </w:r>
    </w:p>
    <w:p w14:paraId="7277E728">
      <w:pPr>
        <w:spacing w:line="500" w:lineRule="exact"/>
        <w:ind w:firstLine="480" w:firstLineChars="200"/>
        <w:rPr>
          <w:sz w:val="24"/>
        </w:rPr>
      </w:pPr>
      <w:r>
        <w:rPr>
          <w:rFonts w:hint="eastAsia"/>
          <w:sz w:val="24"/>
        </w:rPr>
        <w:t>⑧</w:t>
      </w:r>
      <w:r>
        <w:rPr>
          <w:sz w:val="24"/>
        </w:rPr>
        <w:t>以土地级别确定收集的基础资料和工作底图为基础，结合基准地价评估影响因素表，补充收集相关资料。</w:t>
      </w:r>
    </w:p>
    <w:p w14:paraId="6270A3B4">
      <w:pPr>
        <w:pStyle w:val="4"/>
        <w:widowControl w:val="0"/>
        <w:tabs>
          <w:tab w:val="left" w:pos="720"/>
        </w:tabs>
        <w:spacing w:before="120" w:after="120" w:line="500" w:lineRule="exact"/>
        <w:ind w:left="826" w:hanging="826"/>
        <w:jc w:val="both"/>
        <w:rPr>
          <w:rFonts w:ascii="宋体" w:hAnsi="宋体"/>
          <w:sz w:val="24"/>
          <w:szCs w:val="24"/>
        </w:rPr>
      </w:pPr>
      <w:bookmarkStart w:id="70" w:name="_Toc535399904"/>
      <w:bookmarkStart w:id="71" w:name="_Toc532725089"/>
      <w:bookmarkStart w:id="72" w:name="_Toc534833327"/>
      <w:bookmarkStart w:id="73" w:name="_Toc47384595"/>
      <w:r>
        <w:rPr>
          <w:rFonts w:hint="eastAsia" w:ascii="宋体" w:hAnsi="宋体"/>
          <w:sz w:val="24"/>
          <w:szCs w:val="24"/>
        </w:rPr>
        <w:t>2</w:t>
      </w:r>
      <w:r>
        <w:rPr>
          <w:rFonts w:ascii="宋体" w:hAnsi="宋体"/>
          <w:sz w:val="24"/>
          <w:szCs w:val="24"/>
        </w:rPr>
        <w:t>.3.2 资料收集与调查方法</w:t>
      </w:r>
      <w:bookmarkEnd w:id="70"/>
      <w:bookmarkEnd w:id="71"/>
      <w:bookmarkEnd w:id="72"/>
      <w:bookmarkEnd w:id="73"/>
    </w:p>
    <w:p w14:paraId="5C14A152">
      <w:pPr>
        <w:pStyle w:val="180"/>
        <w:ind w:firstLine="480"/>
      </w:pPr>
      <w:r>
        <w:rPr>
          <w:rFonts w:hint="eastAsia"/>
        </w:rPr>
        <w:t>（1）</w:t>
      </w:r>
      <w:r>
        <w:t>资料收集</w:t>
      </w:r>
    </w:p>
    <w:p w14:paraId="7F3ABB22">
      <w:pPr>
        <w:spacing w:line="500" w:lineRule="exact"/>
        <w:ind w:firstLine="480" w:firstLineChars="200"/>
        <w:rPr>
          <w:sz w:val="24"/>
        </w:rPr>
      </w:pPr>
      <w:r>
        <w:rPr>
          <w:rFonts w:hint="eastAsia" w:ascii="宋体" w:hAnsi="宋体"/>
          <w:sz w:val="24"/>
        </w:rPr>
        <w:t>①</w:t>
      </w:r>
      <w:r>
        <w:rPr>
          <w:sz w:val="24"/>
        </w:rPr>
        <w:t>土地利用现状资料</w:t>
      </w:r>
    </w:p>
    <w:p w14:paraId="6DFEF24B">
      <w:pPr>
        <w:spacing w:line="500" w:lineRule="exact"/>
        <w:ind w:firstLine="480" w:firstLineChars="200"/>
        <w:rPr>
          <w:sz w:val="24"/>
        </w:rPr>
      </w:pPr>
      <w:r>
        <w:rPr>
          <w:sz w:val="24"/>
        </w:rPr>
        <w:t>土地利用资料的收集主要包括鄂州市土地利用总体规划、鄂州市土地类型分布图、基本农田保护区资料等。其主要收集目的是根据土地利用分布图对鄂州市国有农用地的分布进行初步了解，并根据鄂州市土地利用总体规划，对土地利用类型的未来演变进行大致了解，为之后样点的布设提供帮助。</w:t>
      </w:r>
    </w:p>
    <w:p w14:paraId="3E71680F">
      <w:pPr>
        <w:spacing w:line="500" w:lineRule="exact"/>
        <w:ind w:firstLine="480" w:firstLineChars="200"/>
        <w:rPr>
          <w:sz w:val="24"/>
        </w:rPr>
      </w:pPr>
      <w:r>
        <w:rPr>
          <w:rFonts w:hint="eastAsia" w:ascii="宋体" w:hAnsi="宋体"/>
          <w:sz w:val="24"/>
        </w:rPr>
        <w:t>②</w:t>
      </w:r>
      <w:r>
        <w:rPr>
          <w:sz w:val="24"/>
        </w:rPr>
        <w:t>土壤状况资料</w:t>
      </w:r>
    </w:p>
    <w:p w14:paraId="2C6DA873">
      <w:pPr>
        <w:spacing w:line="500" w:lineRule="exact"/>
        <w:ind w:firstLine="480" w:firstLineChars="200"/>
        <w:rPr>
          <w:sz w:val="24"/>
        </w:rPr>
      </w:pPr>
      <w:r>
        <w:rPr>
          <w:sz w:val="24"/>
        </w:rPr>
        <w:t>主要包括鄂州市土壤类型分布图以及《鄂州市土壤志》。收集的主要目的是了解国有农用地分布范围内不同土壤类型的分布</w:t>
      </w:r>
      <w:r>
        <w:rPr>
          <w:rFonts w:hint="eastAsia"/>
          <w:sz w:val="24"/>
        </w:rPr>
        <w:t>状况</w:t>
      </w:r>
      <w:r>
        <w:rPr>
          <w:sz w:val="24"/>
        </w:rPr>
        <w:t>，并对土壤的有机质含量、剖面构型、表层土壤质地、PH值、障碍层深度、污染状况、地下水埋深等有一个初步的认知。</w:t>
      </w:r>
    </w:p>
    <w:p w14:paraId="0B7FA3E0">
      <w:pPr>
        <w:spacing w:line="500" w:lineRule="exact"/>
        <w:ind w:firstLine="480" w:firstLineChars="200"/>
        <w:rPr>
          <w:sz w:val="24"/>
        </w:rPr>
      </w:pPr>
      <w:r>
        <w:rPr>
          <w:rFonts w:hint="eastAsia" w:ascii="宋体" w:hAnsi="宋体"/>
          <w:sz w:val="24"/>
        </w:rPr>
        <w:t>③</w:t>
      </w:r>
      <w:r>
        <w:rPr>
          <w:rFonts w:ascii="宋体" w:hAnsi="宋体"/>
          <w:sz w:val="24"/>
        </w:rPr>
        <w:t>国有农用地</w:t>
      </w:r>
      <w:r>
        <w:rPr>
          <w:sz w:val="24"/>
        </w:rPr>
        <w:t>定级成果资料</w:t>
      </w:r>
    </w:p>
    <w:p w14:paraId="111F812C">
      <w:pPr>
        <w:spacing w:line="500" w:lineRule="exact"/>
        <w:ind w:firstLine="480" w:firstLineChars="200"/>
        <w:rPr>
          <w:sz w:val="24"/>
        </w:rPr>
      </w:pPr>
      <w:r>
        <w:rPr>
          <w:sz w:val="24"/>
        </w:rPr>
        <w:t>通过对以往鄂州市土地定级工作报告及土地定级成果的了解，</w:t>
      </w:r>
      <w:r>
        <w:rPr>
          <w:rFonts w:hint="eastAsia"/>
          <w:sz w:val="24"/>
        </w:rPr>
        <w:t>掌握</w:t>
      </w:r>
      <w:r>
        <w:rPr>
          <w:sz w:val="24"/>
        </w:rPr>
        <w:t>鄂州市土地级别的变化情况，并进一步对其驱动机制进行研究。</w:t>
      </w:r>
    </w:p>
    <w:p w14:paraId="6105604E">
      <w:pPr>
        <w:spacing w:line="500" w:lineRule="exact"/>
        <w:ind w:firstLine="480" w:firstLineChars="200"/>
        <w:rPr>
          <w:sz w:val="24"/>
        </w:rPr>
      </w:pPr>
      <w:r>
        <w:rPr>
          <w:rFonts w:hint="eastAsia" w:ascii="宋体" w:hAnsi="宋体"/>
          <w:sz w:val="24"/>
        </w:rPr>
        <w:t>④</w:t>
      </w:r>
      <w:r>
        <w:rPr>
          <w:sz w:val="24"/>
        </w:rPr>
        <w:t>社会经济资料</w:t>
      </w:r>
    </w:p>
    <w:p w14:paraId="0B17B7D0">
      <w:pPr>
        <w:spacing w:line="500" w:lineRule="exact"/>
        <w:ind w:firstLine="480" w:firstLineChars="200"/>
        <w:rPr>
          <w:sz w:val="24"/>
        </w:rPr>
      </w:pPr>
      <w:r>
        <w:rPr>
          <w:sz w:val="24"/>
        </w:rPr>
        <w:t>主要包括鄂州市农业和社会经济发展统计资料</w:t>
      </w:r>
      <w:r>
        <w:rPr>
          <w:rFonts w:hint="eastAsia"/>
          <w:sz w:val="24"/>
        </w:rPr>
        <w:t>，</w:t>
      </w:r>
      <w:r>
        <w:rPr>
          <w:rFonts w:ascii="宋体" w:hAnsi="宋体"/>
          <w:sz w:val="24"/>
        </w:rPr>
        <w:t>国有农用地</w:t>
      </w:r>
      <w:r>
        <w:rPr>
          <w:sz w:val="24"/>
        </w:rPr>
        <w:t>承包、转包、出租、拍卖、抵押、联营入股等交易资料</w:t>
      </w:r>
      <w:r>
        <w:rPr>
          <w:rFonts w:hint="eastAsia"/>
          <w:sz w:val="24"/>
        </w:rPr>
        <w:t>，</w:t>
      </w:r>
      <w:r>
        <w:rPr>
          <w:sz w:val="24"/>
        </w:rPr>
        <w:t>农地征收补偿标准文件资料等。在基准地价的评估过程中，社会经济资料是重要的评定因素。具体资料收集方式为《鄂州统计年鉴》查阅、实地问卷调查等方式。</w:t>
      </w:r>
    </w:p>
    <w:p w14:paraId="2215262F">
      <w:pPr>
        <w:spacing w:line="500" w:lineRule="exact"/>
        <w:ind w:firstLine="480" w:firstLineChars="200"/>
        <w:rPr>
          <w:sz w:val="24"/>
        </w:rPr>
      </w:pPr>
      <w:r>
        <w:rPr>
          <w:rFonts w:hint="eastAsia" w:ascii="宋体" w:hAnsi="宋体"/>
          <w:sz w:val="24"/>
        </w:rPr>
        <w:t>⑤</w:t>
      </w:r>
      <w:r>
        <w:rPr>
          <w:sz w:val="24"/>
        </w:rPr>
        <w:t>基础设施资料</w:t>
      </w:r>
    </w:p>
    <w:p w14:paraId="202DB9BE">
      <w:pPr>
        <w:spacing w:line="500" w:lineRule="exact"/>
        <w:ind w:firstLine="480" w:firstLineChars="200"/>
        <w:rPr>
          <w:sz w:val="24"/>
        </w:rPr>
      </w:pPr>
      <w:r>
        <w:rPr>
          <w:sz w:val="24"/>
        </w:rPr>
        <w:t>由于鄂州市国有农用地中主要土地类型为水田与水浇地，故灌溉引水渠分布及排水沟分布两项基础设施的状况对于国有农用地定级与基准地价评估有着重要的影响。在收集此项资料时，可首先在水利部门查询相关资料或分布图，并在实地进行踏勘以得到准确的分布情况。</w:t>
      </w:r>
    </w:p>
    <w:p w14:paraId="79153FB8">
      <w:pPr>
        <w:spacing w:line="500" w:lineRule="exact"/>
        <w:ind w:firstLine="480" w:firstLineChars="200"/>
        <w:rPr>
          <w:sz w:val="24"/>
        </w:rPr>
      </w:pPr>
      <w:r>
        <w:rPr>
          <w:rFonts w:hint="eastAsia"/>
          <w:sz w:val="24"/>
        </w:rPr>
        <w:t>⑥</w:t>
      </w:r>
      <w:r>
        <w:rPr>
          <w:sz w:val="24"/>
        </w:rPr>
        <w:t>交通状况</w:t>
      </w:r>
    </w:p>
    <w:p w14:paraId="21E3487E">
      <w:pPr>
        <w:spacing w:line="500" w:lineRule="exact"/>
        <w:ind w:firstLine="480" w:firstLineChars="200"/>
        <w:rPr>
          <w:sz w:val="24"/>
        </w:rPr>
      </w:pPr>
      <w:r>
        <w:rPr>
          <w:sz w:val="24"/>
        </w:rPr>
        <w:t>交通条件主要为两种</w:t>
      </w:r>
      <w:r>
        <w:rPr>
          <w:rFonts w:hint="eastAsia"/>
          <w:sz w:val="24"/>
        </w:rPr>
        <w:t>：</w:t>
      </w:r>
      <w:r>
        <w:rPr>
          <w:sz w:val="24"/>
        </w:rPr>
        <w:t>一是道路网的分布及道路类型、级别等</w:t>
      </w:r>
      <w:r>
        <w:rPr>
          <w:rFonts w:hint="eastAsia"/>
          <w:sz w:val="24"/>
        </w:rPr>
        <w:t>，</w:t>
      </w:r>
      <w:r>
        <w:rPr>
          <w:sz w:val="24"/>
        </w:rPr>
        <w:t>由于农产品的运输在第一阶段主要靠公路运输，故交通通达度在</w:t>
      </w:r>
      <w:r>
        <w:rPr>
          <w:rFonts w:ascii="宋体" w:hAnsi="宋体"/>
          <w:sz w:val="24"/>
        </w:rPr>
        <w:t>国有农用地</w:t>
      </w:r>
      <w:r>
        <w:rPr>
          <w:sz w:val="24"/>
        </w:rPr>
        <w:t>基准地价过程中起着重要的作用</w:t>
      </w:r>
      <w:r>
        <w:rPr>
          <w:rFonts w:hint="eastAsia"/>
          <w:sz w:val="24"/>
        </w:rPr>
        <w:t>；</w:t>
      </w:r>
      <w:r>
        <w:rPr>
          <w:sz w:val="24"/>
        </w:rPr>
        <w:t>其二是农贸市场的分布及交通状况</w:t>
      </w:r>
      <w:r>
        <w:rPr>
          <w:rFonts w:hint="eastAsia"/>
          <w:sz w:val="24"/>
        </w:rPr>
        <w:t>，</w:t>
      </w:r>
      <w:r>
        <w:rPr>
          <w:sz w:val="24"/>
        </w:rPr>
        <w:t>农贸市场的分布直接影响各块</w:t>
      </w:r>
      <w:r>
        <w:rPr>
          <w:rFonts w:ascii="宋体" w:hAnsi="宋体"/>
          <w:sz w:val="24"/>
        </w:rPr>
        <w:t>国有农用地</w:t>
      </w:r>
      <w:r>
        <w:rPr>
          <w:sz w:val="24"/>
        </w:rPr>
        <w:t>农产品的价格，对于基准地价有着直接的影响。此类资料的收集主要为实地问卷调查并对农贸市场进行实地走访。</w:t>
      </w:r>
    </w:p>
    <w:p w14:paraId="54F5E65C">
      <w:pPr>
        <w:spacing w:line="500" w:lineRule="exact"/>
        <w:ind w:firstLine="480" w:firstLineChars="200"/>
        <w:rPr>
          <w:sz w:val="24"/>
        </w:rPr>
      </w:pPr>
      <w:r>
        <w:rPr>
          <w:rFonts w:hint="eastAsia"/>
          <w:sz w:val="24"/>
        </w:rPr>
        <w:t>⑦</w:t>
      </w:r>
      <w:r>
        <w:rPr>
          <w:sz w:val="24"/>
        </w:rPr>
        <w:t>基准地价评价案例</w:t>
      </w:r>
    </w:p>
    <w:p w14:paraId="5C68FCA9">
      <w:pPr>
        <w:spacing w:line="500" w:lineRule="exact"/>
        <w:ind w:firstLine="480" w:firstLineChars="200"/>
        <w:rPr>
          <w:sz w:val="24"/>
        </w:rPr>
      </w:pPr>
      <w:r>
        <w:rPr>
          <w:sz w:val="24"/>
        </w:rPr>
        <w:t>典型案例资料可以在评估时起到一定的参考检验效果，也可在本次基准地价评估工作完成后起到对比的作用。</w:t>
      </w:r>
    </w:p>
    <w:p w14:paraId="66545A96">
      <w:pPr>
        <w:spacing w:line="460" w:lineRule="exact"/>
        <w:ind w:firstLine="422"/>
        <w:jc w:val="center"/>
        <w:rPr>
          <w:b/>
          <w:szCs w:val="21"/>
        </w:rPr>
      </w:pPr>
      <w:r>
        <w:rPr>
          <w:b/>
          <w:szCs w:val="21"/>
        </w:rPr>
        <w:t>表2-1</w:t>
      </w:r>
      <w:r>
        <w:rPr>
          <w:rFonts w:hint="eastAsia"/>
          <w:b/>
          <w:szCs w:val="21"/>
        </w:rPr>
        <w:t>鄂州市</w:t>
      </w:r>
      <w:r>
        <w:rPr>
          <w:b/>
          <w:szCs w:val="21"/>
        </w:rPr>
        <w:t>国有农用地基准地价评估资料收集表</w:t>
      </w:r>
    </w:p>
    <w:tbl>
      <w:tblPr>
        <w:tblStyle w:val="39"/>
        <w:tblW w:w="8296" w:type="dxa"/>
        <w:jc w:val="center"/>
        <w:tblLayout w:type="fixed"/>
        <w:tblCellMar>
          <w:top w:w="0" w:type="dxa"/>
          <w:left w:w="108" w:type="dxa"/>
          <w:bottom w:w="0" w:type="dxa"/>
          <w:right w:w="108" w:type="dxa"/>
        </w:tblCellMar>
      </w:tblPr>
      <w:tblGrid>
        <w:gridCol w:w="773"/>
        <w:gridCol w:w="1774"/>
        <w:gridCol w:w="4111"/>
        <w:gridCol w:w="1638"/>
      </w:tblGrid>
      <w:tr w14:paraId="3FE949BE">
        <w:tblPrEx>
          <w:tblCellMar>
            <w:top w:w="0" w:type="dxa"/>
            <w:left w:w="108" w:type="dxa"/>
            <w:bottom w:w="0" w:type="dxa"/>
            <w:right w:w="108" w:type="dxa"/>
          </w:tblCellMar>
        </w:tblPrEx>
        <w:trPr>
          <w:trHeight w:val="312" w:hRule="atLeast"/>
          <w:jc w:val="center"/>
        </w:trPr>
        <w:tc>
          <w:tcPr>
            <w:tcW w:w="773" w:type="dxa"/>
            <w:tcBorders>
              <w:top w:val="single" w:color="auto" w:sz="4" w:space="0"/>
              <w:left w:val="single" w:color="auto" w:sz="4" w:space="0"/>
              <w:bottom w:val="single" w:color="auto" w:sz="4" w:space="0"/>
              <w:right w:val="single" w:color="auto" w:sz="4" w:space="0"/>
            </w:tcBorders>
            <w:vAlign w:val="center"/>
          </w:tcPr>
          <w:p w14:paraId="4AB78454">
            <w:pPr>
              <w:spacing w:line="280" w:lineRule="exact"/>
              <w:jc w:val="center"/>
              <w:rPr>
                <w:rFonts w:ascii="宋体" w:hAnsi="宋体"/>
                <w:b/>
                <w:kern w:val="0"/>
                <w:szCs w:val="21"/>
              </w:rPr>
            </w:pPr>
            <w:r>
              <w:rPr>
                <w:rFonts w:ascii="宋体" w:hAnsi="宋体"/>
                <w:b/>
                <w:kern w:val="0"/>
                <w:szCs w:val="21"/>
              </w:rPr>
              <w:t>序号</w:t>
            </w:r>
          </w:p>
        </w:tc>
        <w:tc>
          <w:tcPr>
            <w:tcW w:w="5885" w:type="dxa"/>
            <w:gridSpan w:val="2"/>
            <w:tcBorders>
              <w:top w:val="single" w:color="auto" w:sz="4" w:space="0"/>
              <w:left w:val="single" w:color="auto" w:sz="4" w:space="0"/>
              <w:bottom w:val="single" w:color="auto" w:sz="4" w:space="0"/>
              <w:right w:val="single" w:color="auto" w:sz="4" w:space="0"/>
            </w:tcBorders>
            <w:vAlign w:val="center"/>
          </w:tcPr>
          <w:p w14:paraId="7BE94473">
            <w:pPr>
              <w:spacing w:line="280" w:lineRule="exact"/>
              <w:jc w:val="center"/>
              <w:rPr>
                <w:rFonts w:ascii="宋体" w:hAnsi="宋体"/>
                <w:b/>
                <w:kern w:val="0"/>
                <w:szCs w:val="21"/>
              </w:rPr>
            </w:pPr>
            <w:r>
              <w:rPr>
                <w:rFonts w:ascii="宋体" w:hAnsi="宋体"/>
                <w:b/>
                <w:kern w:val="0"/>
                <w:szCs w:val="21"/>
              </w:rPr>
              <w:t>资料内容</w:t>
            </w:r>
          </w:p>
        </w:tc>
        <w:tc>
          <w:tcPr>
            <w:tcW w:w="1638" w:type="dxa"/>
            <w:tcBorders>
              <w:top w:val="single" w:color="auto" w:sz="4" w:space="0"/>
              <w:left w:val="single" w:color="auto" w:sz="4" w:space="0"/>
              <w:bottom w:val="single" w:color="auto" w:sz="4" w:space="0"/>
              <w:right w:val="single" w:color="auto" w:sz="4" w:space="0"/>
            </w:tcBorders>
            <w:vAlign w:val="center"/>
          </w:tcPr>
          <w:p w14:paraId="025FF86B">
            <w:pPr>
              <w:spacing w:line="280" w:lineRule="exact"/>
              <w:jc w:val="center"/>
              <w:rPr>
                <w:rFonts w:ascii="宋体" w:hAnsi="宋体"/>
                <w:b/>
                <w:kern w:val="0"/>
                <w:szCs w:val="21"/>
              </w:rPr>
            </w:pPr>
            <w:r>
              <w:rPr>
                <w:rFonts w:ascii="宋体" w:hAnsi="宋体"/>
                <w:b/>
                <w:kern w:val="0"/>
                <w:szCs w:val="21"/>
              </w:rPr>
              <w:t>来源</w:t>
            </w:r>
          </w:p>
        </w:tc>
      </w:tr>
      <w:tr w14:paraId="4F02FF7A">
        <w:tblPrEx>
          <w:tblCellMar>
            <w:top w:w="0" w:type="dxa"/>
            <w:left w:w="108" w:type="dxa"/>
            <w:bottom w:w="0" w:type="dxa"/>
            <w:right w:w="108" w:type="dxa"/>
          </w:tblCellMar>
        </w:tblPrEx>
        <w:trPr>
          <w:trHeight w:val="397" w:hRule="exact"/>
          <w:jc w:val="center"/>
        </w:trPr>
        <w:tc>
          <w:tcPr>
            <w:tcW w:w="773" w:type="dxa"/>
            <w:vMerge w:val="restart"/>
            <w:tcBorders>
              <w:top w:val="single" w:color="auto" w:sz="4" w:space="0"/>
              <w:left w:val="single" w:color="auto" w:sz="4" w:space="0"/>
              <w:bottom w:val="single" w:color="auto" w:sz="4" w:space="0"/>
              <w:right w:val="single" w:color="auto" w:sz="4" w:space="0"/>
            </w:tcBorders>
            <w:vAlign w:val="center"/>
          </w:tcPr>
          <w:p w14:paraId="51FA0877">
            <w:pPr>
              <w:spacing w:line="280" w:lineRule="exact"/>
              <w:jc w:val="center"/>
              <w:rPr>
                <w:rFonts w:ascii="宋体" w:hAnsi="宋体"/>
                <w:kern w:val="0"/>
                <w:szCs w:val="21"/>
              </w:rPr>
            </w:pPr>
            <w:r>
              <w:rPr>
                <w:rFonts w:ascii="宋体" w:hAnsi="宋体"/>
                <w:kern w:val="0"/>
                <w:szCs w:val="21"/>
              </w:rPr>
              <w:t>1</w:t>
            </w:r>
          </w:p>
        </w:tc>
        <w:tc>
          <w:tcPr>
            <w:tcW w:w="1774" w:type="dxa"/>
            <w:vMerge w:val="restart"/>
            <w:tcBorders>
              <w:top w:val="single" w:color="auto" w:sz="4" w:space="0"/>
              <w:left w:val="single" w:color="auto" w:sz="4" w:space="0"/>
              <w:bottom w:val="single" w:color="auto" w:sz="4" w:space="0"/>
              <w:right w:val="single" w:color="auto" w:sz="4" w:space="0"/>
            </w:tcBorders>
            <w:vAlign w:val="center"/>
          </w:tcPr>
          <w:p w14:paraId="721936DA">
            <w:pPr>
              <w:spacing w:line="280" w:lineRule="exact"/>
              <w:jc w:val="center"/>
              <w:rPr>
                <w:rFonts w:ascii="宋体" w:hAnsi="宋体"/>
                <w:kern w:val="0"/>
                <w:szCs w:val="21"/>
              </w:rPr>
            </w:pPr>
            <w:r>
              <w:rPr>
                <w:rFonts w:ascii="宋体" w:hAnsi="宋体"/>
                <w:kern w:val="0"/>
                <w:szCs w:val="21"/>
              </w:rPr>
              <w:t>土地利用资料</w:t>
            </w:r>
          </w:p>
        </w:tc>
        <w:tc>
          <w:tcPr>
            <w:tcW w:w="4111" w:type="dxa"/>
            <w:tcBorders>
              <w:top w:val="single" w:color="auto" w:sz="4" w:space="0"/>
              <w:left w:val="nil"/>
              <w:bottom w:val="single" w:color="auto" w:sz="4" w:space="0"/>
              <w:right w:val="single" w:color="auto" w:sz="4" w:space="0"/>
            </w:tcBorders>
            <w:vAlign w:val="center"/>
          </w:tcPr>
          <w:p w14:paraId="1A758C01">
            <w:pPr>
              <w:spacing w:line="280" w:lineRule="exact"/>
              <w:jc w:val="center"/>
              <w:rPr>
                <w:rFonts w:ascii="宋体" w:hAnsi="宋体"/>
                <w:kern w:val="0"/>
                <w:szCs w:val="21"/>
              </w:rPr>
            </w:pPr>
            <w:r>
              <w:rPr>
                <w:rFonts w:ascii="宋体" w:hAnsi="宋体"/>
                <w:kern w:val="0"/>
                <w:szCs w:val="21"/>
              </w:rPr>
              <w:t>土地利用总体规划</w:t>
            </w:r>
          </w:p>
        </w:tc>
        <w:tc>
          <w:tcPr>
            <w:tcW w:w="1638" w:type="dxa"/>
            <w:vMerge w:val="restart"/>
            <w:tcBorders>
              <w:top w:val="single" w:color="auto" w:sz="4" w:space="0"/>
              <w:left w:val="single" w:color="auto" w:sz="4" w:space="0"/>
              <w:right w:val="single" w:color="auto" w:sz="4" w:space="0"/>
            </w:tcBorders>
            <w:vAlign w:val="center"/>
          </w:tcPr>
          <w:p w14:paraId="19CB433C">
            <w:pPr>
              <w:spacing w:line="280" w:lineRule="exact"/>
              <w:jc w:val="center"/>
              <w:rPr>
                <w:rFonts w:ascii="宋体" w:hAnsi="宋体"/>
                <w:color w:val="FF0000"/>
                <w:kern w:val="0"/>
                <w:szCs w:val="21"/>
              </w:rPr>
            </w:pPr>
            <w:r>
              <w:rPr>
                <w:rFonts w:hint="eastAsia" w:ascii="宋体" w:hAnsi="宋体"/>
                <w:kern w:val="0"/>
                <w:szCs w:val="21"/>
              </w:rPr>
              <w:t>自然</w:t>
            </w:r>
            <w:r>
              <w:rPr>
                <w:rFonts w:ascii="宋体" w:hAnsi="宋体"/>
                <w:kern w:val="0"/>
                <w:szCs w:val="21"/>
              </w:rPr>
              <w:t>资源</w:t>
            </w:r>
            <w:r>
              <w:rPr>
                <w:rFonts w:hint="eastAsia" w:ascii="宋体" w:hAnsi="宋体"/>
                <w:kern w:val="0"/>
                <w:szCs w:val="21"/>
              </w:rPr>
              <w:t>和规划局</w:t>
            </w:r>
          </w:p>
        </w:tc>
      </w:tr>
      <w:tr w14:paraId="2EB00709">
        <w:tblPrEx>
          <w:tblCellMar>
            <w:top w:w="0" w:type="dxa"/>
            <w:left w:w="108" w:type="dxa"/>
            <w:bottom w:w="0" w:type="dxa"/>
            <w:right w:w="108" w:type="dxa"/>
          </w:tblCellMar>
        </w:tblPrEx>
        <w:trPr>
          <w:trHeight w:val="397" w:hRule="exac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57EECE6A">
            <w:pPr>
              <w:spacing w:line="280" w:lineRule="exact"/>
              <w:rPr>
                <w:rFonts w:ascii="宋体" w:hAnsi="宋体"/>
                <w:kern w:val="0"/>
                <w:szCs w:val="21"/>
              </w:rPr>
            </w:pPr>
          </w:p>
        </w:tc>
        <w:tc>
          <w:tcPr>
            <w:tcW w:w="1774" w:type="dxa"/>
            <w:vMerge w:val="continue"/>
            <w:tcBorders>
              <w:top w:val="single" w:color="auto" w:sz="4" w:space="0"/>
              <w:left w:val="single" w:color="auto" w:sz="4" w:space="0"/>
              <w:bottom w:val="single" w:color="auto" w:sz="4" w:space="0"/>
              <w:right w:val="single" w:color="auto" w:sz="4" w:space="0"/>
            </w:tcBorders>
            <w:vAlign w:val="center"/>
          </w:tcPr>
          <w:p w14:paraId="0FE7B7B4">
            <w:pPr>
              <w:spacing w:line="280" w:lineRule="exact"/>
              <w:rPr>
                <w:rFonts w:ascii="宋体" w:hAnsi="宋体"/>
                <w:kern w:val="0"/>
                <w:szCs w:val="21"/>
              </w:rPr>
            </w:pPr>
          </w:p>
        </w:tc>
        <w:tc>
          <w:tcPr>
            <w:tcW w:w="4111" w:type="dxa"/>
            <w:tcBorders>
              <w:top w:val="nil"/>
              <w:left w:val="nil"/>
              <w:bottom w:val="single" w:color="auto" w:sz="4" w:space="0"/>
              <w:right w:val="single" w:color="auto" w:sz="4" w:space="0"/>
            </w:tcBorders>
            <w:vAlign w:val="center"/>
          </w:tcPr>
          <w:p w14:paraId="69E89F37">
            <w:pPr>
              <w:spacing w:line="280" w:lineRule="exact"/>
              <w:jc w:val="center"/>
              <w:rPr>
                <w:rFonts w:ascii="宋体" w:hAnsi="宋体"/>
                <w:kern w:val="0"/>
                <w:szCs w:val="21"/>
              </w:rPr>
            </w:pPr>
            <w:r>
              <w:rPr>
                <w:rFonts w:ascii="宋体" w:hAnsi="宋体"/>
                <w:kern w:val="0"/>
                <w:szCs w:val="21"/>
              </w:rPr>
              <w:t>土地类型分布图</w:t>
            </w:r>
          </w:p>
        </w:tc>
        <w:tc>
          <w:tcPr>
            <w:tcW w:w="1638" w:type="dxa"/>
            <w:vMerge w:val="continue"/>
            <w:tcBorders>
              <w:left w:val="single" w:color="auto" w:sz="4" w:space="0"/>
              <w:right w:val="single" w:color="auto" w:sz="4" w:space="0"/>
            </w:tcBorders>
            <w:vAlign w:val="center"/>
          </w:tcPr>
          <w:p w14:paraId="32834C09">
            <w:pPr>
              <w:spacing w:line="280" w:lineRule="exact"/>
              <w:jc w:val="center"/>
              <w:rPr>
                <w:rFonts w:ascii="宋体" w:hAnsi="宋体"/>
                <w:kern w:val="0"/>
                <w:szCs w:val="21"/>
              </w:rPr>
            </w:pPr>
          </w:p>
        </w:tc>
      </w:tr>
      <w:tr w14:paraId="7BA75979">
        <w:tblPrEx>
          <w:tblCellMar>
            <w:top w:w="0" w:type="dxa"/>
            <w:left w:w="108" w:type="dxa"/>
            <w:bottom w:w="0" w:type="dxa"/>
            <w:right w:w="108" w:type="dxa"/>
          </w:tblCellMar>
        </w:tblPrEx>
        <w:trPr>
          <w:trHeight w:val="397" w:hRule="exac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42E6F3A0">
            <w:pPr>
              <w:spacing w:line="280" w:lineRule="exact"/>
              <w:rPr>
                <w:rFonts w:ascii="宋体" w:hAnsi="宋体"/>
                <w:kern w:val="0"/>
                <w:szCs w:val="21"/>
              </w:rPr>
            </w:pPr>
          </w:p>
        </w:tc>
        <w:tc>
          <w:tcPr>
            <w:tcW w:w="1774" w:type="dxa"/>
            <w:vMerge w:val="continue"/>
            <w:tcBorders>
              <w:top w:val="single" w:color="auto" w:sz="4" w:space="0"/>
              <w:left w:val="single" w:color="auto" w:sz="4" w:space="0"/>
              <w:bottom w:val="single" w:color="auto" w:sz="4" w:space="0"/>
              <w:right w:val="single" w:color="auto" w:sz="4" w:space="0"/>
            </w:tcBorders>
            <w:vAlign w:val="center"/>
          </w:tcPr>
          <w:p w14:paraId="39035A54">
            <w:pPr>
              <w:spacing w:line="280" w:lineRule="exact"/>
              <w:rPr>
                <w:rFonts w:ascii="宋体" w:hAnsi="宋体"/>
                <w:kern w:val="0"/>
                <w:szCs w:val="21"/>
              </w:rPr>
            </w:pPr>
          </w:p>
        </w:tc>
        <w:tc>
          <w:tcPr>
            <w:tcW w:w="4111" w:type="dxa"/>
            <w:tcBorders>
              <w:top w:val="nil"/>
              <w:left w:val="nil"/>
              <w:bottom w:val="single" w:color="auto" w:sz="4" w:space="0"/>
              <w:right w:val="single" w:color="auto" w:sz="4" w:space="0"/>
            </w:tcBorders>
            <w:vAlign w:val="center"/>
          </w:tcPr>
          <w:p w14:paraId="05FD4B90">
            <w:pPr>
              <w:spacing w:line="280" w:lineRule="exact"/>
              <w:jc w:val="center"/>
              <w:rPr>
                <w:rFonts w:ascii="宋体" w:hAnsi="宋体"/>
                <w:kern w:val="0"/>
                <w:szCs w:val="21"/>
              </w:rPr>
            </w:pPr>
            <w:r>
              <w:rPr>
                <w:rFonts w:ascii="宋体" w:hAnsi="宋体"/>
                <w:kern w:val="0"/>
                <w:szCs w:val="21"/>
              </w:rPr>
              <w:t>基本农田保护区资料</w:t>
            </w:r>
          </w:p>
        </w:tc>
        <w:tc>
          <w:tcPr>
            <w:tcW w:w="1638" w:type="dxa"/>
            <w:vMerge w:val="continue"/>
            <w:tcBorders>
              <w:left w:val="single" w:color="auto" w:sz="4" w:space="0"/>
              <w:right w:val="single" w:color="auto" w:sz="4" w:space="0"/>
            </w:tcBorders>
            <w:vAlign w:val="center"/>
          </w:tcPr>
          <w:p w14:paraId="1DE69862">
            <w:pPr>
              <w:spacing w:line="280" w:lineRule="exact"/>
              <w:jc w:val="center"/>
              <w:rPr>
                <w:rFonts w:ascii="宋体" w:hAnsi="宋体"/>
                <w:kern w:val="0"/>
                <w:szCs w:val="21"/>
              </w:rPr>
            </w:pPr>
          </w:p>
        </w:tc>
      </w:tr>
      <w:tr w14:paraId="0DEDB23C">
        <w:tblPrEx>
          <w:tblCellMar>
            <w:top w:w="0" w:type="dxa"/>
            <w:left w:w="108" w:type="dxa"/>
            <w:bottom w:w="0" w:type="dxa"/>
            <w:right w:w="108" w:type="dxa"/>
          </w:tblCellMar>
        </w:tblPrEx>
        <w:trPr>
          <w:trHeight w:val="397" w:hRule="exact"/>
          <w:jc w:val="center"/>
        </w:trPr>
        <w:tc>
          <w:tcPr>
            <w:tcW w:w="773" w:type="dxa"/>
            <w:vMerge w:val="restart"/>
            <w:tcBorders>
              <w:top w:val="single" w:color="auto" w:sz="4" w:space="0"/>
              <w:left w:val="single" w:color="auto" w:sz="4" w:space="0"/>
              <w:bottom w:val="single" w:color="auto" w:sz="4" w:space="0"/>
              <w:right w:val="single" w:color="auto" w:sz="4" w:space="0"/>
            </w:tcBorders>
            <w:vAlign w:val="center"/>
          </w:tcPr>
          <w:p w14:paraId="650CD4FC">
            <w:pPr>
              <w:spacing w:line="280" w:lineRule="exact"/>
              <w:jc w:val="center"/>
              <w:rPr>
                <w:rFonts w:ascii="宋体" w:hAnsi="宋体"/>
                <w:kern w:val="0"/>
                <w:szCs w:val="21"/>
              </w:rPr>
            </w:pPr>
            <w:r>
              <w:rPr>
                <w:rFonts w:ascii="宋体" w:hAnsi="宋体"/>
                <w:kern w:val="0"/>
                <w:szCs w:val="21"/>
              </w:rPr>
              <w:t>2</w:t>
            </w:r>
          </w:p>
        </w:tc>
        <w:tc>
          <w:tcPr>
            <w:tcW w:w="1774" w:type="dxa"/>
            <w:vMerge w:val="restart"/>
            <w:tcBorders>
              <w:top w:val="single" w:color="auto" w:sz="4" w:space="0"/>
              <w:left w:val="single" w:color="auto" w:sz="4" w:space="0"/>
              <w:bottom w:val="single" w:color="auto" w:sz="4" w:space="0"/>
              <w:right w:val="single" w:color="auto" w:sz="4" w:space="0"/>
            </w:tcBorders>
            <w:vAlign w:val="center"/>
          </w:tcPr>
          <w:p w14:paraId="475036F7">
            <w:pPr>
              <w:spacing w:line="280" w:lineRule="exact"/>
              <w:jc w:val="center"/>
              <w:rPr>
                <w:rFonts w:ascii="宋体" w:hAnsi="宋体"/>
                <w:kern w:val="0"/>
                <w:szCs w:val="21"/>
              </w:rPr>
            </w:pPr>
            <w:r>
              <w:rPr>
                <w:rFonts w:ascii="宋体" w:hAnsi="宋体"/>
                <w:szCs w:val="21"/>
              </w:rPr>
              <w:t>国有农用地</w:t>
            </w:r>
            <w:r>
              <w:rPr>
                <w:rFonts w:ascii="宋体" w:hAnsi="宋体"/>
                <w:kern w:val="0"/>
                <w:szCs w:val="21"/>
              </w:rPr>
              <w:t>定级成果资料</w:t>
            </w:r>
          </w:p>
        </w:tc>
        <w:tc>
          <w:tcPr>
            <w:tcW w:w="4111" w:type="dxa"/>
            <w:tcBorders>
              <w:top w:val="single" w:color="auto" w:sz="4" w:space="0"/>
              <w:left w:val="single" w:color="auto" w:sz="4" w:space="0"/>
              <w:bottom w:val="single" w:color="auto" w:sz="4" w:space="0"/>
              <w:right w:val="single" w:color="auto" w:sz="4" w:space="0"/>
            </w:tcBorders>
            <w:vAlign w:val="center"/>
          </w:tcPr>
          <w:p w14:paraId="088B28B6">
            <w:pPr>
              <w:spacing w:line="280" w:lineRule="exact"/>
              <w:jc w:val="center"/>
              <w:rPr>
                <w:rFonts w:ascii="宋体" w:hAnsi="宋体"/>
                <w:kern w:val="0"/>
                <w:szCs w:val="21"/>
              </w:rPr>
            </w:pPr>
            <w:r>
              <w:rPr>
                <w:rFonts w:hint="eastAsia" w:ascii="宋体" w:hAnsi="宋体"/>
                <w:kern w:val="0"/>
                <w:szCs w:val="21"/>
              </w:rPr>
              <w:t>农用地</w:t>
            </w:r>
            <w:r>
              <w:rPr>
                <w:rFonts w:ascii="宋体" w:hAnsi="宋体"/>
                <w:kern w:val="0"/>
                <w:szCs w:val="21"/>
              </w:rPr>
              <w:t>级别图</w:t>
            </w:r>
          </w:p>
        </w:tc>
        <w:tc>
          <w:tcPr>
            <w:tcW w:w="1638" w:type="dxa"/>
            <w:vMerge w:val="continue"/>
            <w:tcBorders>
              <w:left w:val="single" w:color="auto" w:sz="4" w:space="0"/>
              <w:right w:val="single" w:color="auto" w:sz="4" w:space="0"/>
            </w:tcBorders>
            <w:vAlign w:val="center"/>
          </w:tcPr>
          <w:p w14:paraId="4FF31301">
            <w:pPr>
              <w:spacing w:line="280" w:lineRule="exact"/>
              <w:jc w:val="center"/>
              <w:rPr>
                <w:rFonts w:ascii="宋体" w:hAnsi="宋体"/>
                <w:color w:val="FF0000"/>
                <w:kern w:val="0"/>
                <w:szCs w:val="21"/>
              </w:rPr>
            </w:pPr>
          </w:p>
        </w:tc>
      </w:tr>
      <w:tr w14:paraId="25FEB2D4">
        <w:tblPrEx>
          <w:tblCellMar>
            <w:top w:w="0" w:type="dxa"/>
            <w:left w:w="108" w:type="dxa"/>
            <w:bottom w:w="0" w:type="dxa"/>
            <w:right w:w="108" w:type="dxa"/>
          </w:tblCellMar>
        </w:tblPrEx>
        <w:trPr>
          <w:trHeight w:val="476" w:hRule="exac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76C2642D">
            <w:pPr>
              <w:spacing w:line="280" w:lineRule="exact"/>
              <w:rPr>
                <w:rFonts w:ascii="宋体" w:hAnsi="宋体"/>
                <w:kern w:val="0"/>
                <w:szCs w:val="21"/>
              </w:rPr>
            </w:pPr>
          </w:p>
        </w:tc>
        <w:tc>
          <w:tcPr>
            <w:tcW w:w="1774" w:type="dxa"/>
            <w:vMerge w:val="continue"/>
            <w:tcBorders>
              <w:top w:val="single" w:color="auto" w:sz="4" w:space="0"/>
              <w:left w:val="single" w:color="auto" w:sz="4" w:space="0"/>
              <w:bottom w:val="single" w:color="auto" w:sz="4" w:space="0"/>
              <w:right w:val="single" w:color="auto" w:sz="4" w:space="0"/>
            </w:tcBorders>
            <w:vAlign w:val="center"/>
          </w:tcPr>
          <w:p w14:paraId="0FC7B305">
            <w:pPr>
              <w:spacing w:line="280" w:lineRule="exact"/>
              <w:rPr>
                <w:rFonts w:ascii="宋体" w:hAnsi="宋体"/>
                <w:kern w:val="0"/>
                <w:szCs w:val="21"/>
              </w:rPr>
            </w:pPr>
          </w:p>
        </w:tc>
        <w:tc>
          <w:tcPr>
            <w:tcW w:w="4111" w:type="dxa"/>
            <w:tcBorders>
              <w:top w:val="single" w:color="auto" w:sz="4" w:space="0"/>
              <w:left w:val="single" w:color="auto" w:sz="4" w:space="0"/>
              <w:bottom w:val="single" w:color="auto" w:sz="4" w:space="0"/>
              <w:right w:val="single" w:color="auto" w:sz="4" w:space="0"/>
            </w:tcBorders>
            <w:vAlign w:val="center"/>
          </w:tcPr>
          <w:p w14:paraId="45F39F89">
            <w:pPr>
              <w:spacing w:line="280" w:lineRule="exact"/>
              <w:jc w:val="center"/>
              <w:rPr>
                <w:rFonts w:ascii="宋体" w:hAnsi="宋体"/>
                <w:kern w:val="0"/>
                <w:szCs w:val="21"/>
              </w:rPr>
            </w:pPr>
            <w:r>
              <w:rPr>
                <w:rFonts w:hint="eastAsia" w:ascii="宋体" w:hAnsi="宋体"/>
                <w:kern w:val="0"/>
                <w:szCs w:val="21"/>
              </w:rPr>
              <w:t>农用地</w:t>
            </w:r>
            <w:r>
              <w:rPr>
                <w:rFonts w:ascii="宋体" w:hAnsi="宋体"/>
                <w:kern w:val="0"/>
                <w:szCs w:val="21"/>
              </w:rPr>
              <w:t>定级工作报告</w:t>
            </w:r>
          </w:p>
        </w:tc>
        <w:tc>
          <w:tcPr>
            <w:tcW w:w="1638" w:type="dxa"/>
            <w:vMerge w:val="continue"/>
            <w:tcBorders>
              <w:left w:val="single" w:color="auto" w:sz="4" w:space="0"/>
              <w:right w:val="single" w:color="auto" w:sz="4" w:space="0"/>
            </w:tcBorders>
            <w:vAlign w:val="center"/>
          </w:tcPr>
          <w:p w14:paraId="13B51CC2">
            <w:pPr>
              <w:spacing w:line="280" w:lineRule="exact"/>
              <w:jc w:val="center"/>
              <w:rPr>
                <w:rFonts w:ascii="宋体" w:hAnsi="宋体"/>
                <w:kern w:val="0"/>
                <w:szCs w:val="21"/>
              </w:rPr>
            </w:pPr>
          </w:p>
        </w:tc>
      </w:tr>
      <w:tr w14:paraId="2C5F57F9">
        <w:tblPrEx>
          <w:tblCellMar>
            <w:top w:w="0" w:type="dxa"/>
            <w:left w:w="108" w:type="dxa"/>
            <w:bottom w:w="0" w:type="dxa"/>
            <w:right w:w="108" w:type="dxa"/>
          </w:tblCellMar>
        </w:tblPrEx>
        <w:trPr>
          <w:trHeight w:val="624" w:hRule="atLeast"/>
          <w:jc w:val="center"/>
        </w:trPr>
        <w:tc>
          <w:tcPr>
            <w:tcW w:w="773" w:type="dxa"/>
            <w:vMerge w:val="restart"/>
            <w:tcBorders>
              <w:top w:val="single" w:color="auto" w:sz="4" w:space="0"/>
              <w:left w:val="single" w:color="auto" w:sz="4" w:space="0"/>
              <w:bottom w:val="single" w:color="auto" w:sz="4" w:space="0"/>
              <w:right w:val="single" w:color="auto" w:sz="4" w:space="0"/>
            </w:tcBorders>
            <w:vAlign w:val="center"/>
          </w:tcPr>
          <w:p w14:paraId="6EF2E680">
            <w:pPr>
              <w:spacing w:line="280" w:lineRule="exact"/>
              <w:jc w:val="center"/>
              <w:rPr>
                <w:rFonts w:ascii="宋体" w:hAnsi="宋体"/>
                <w:kern w:val="0"/>
                <w:szCs w:val="21"/>
              </w:rPr>
            </w:pPr>
            <w:r>
              <w:rPr>
                <w:rFonts w:ascii="宋体" w:hAnsi="宋体"/>
                <w:kern w:val="0"/>
                <w:szCs w:val="21"/>
              </w:rPr>
              <w:t>3</w:t>
            </w:r>
          </w:p>
        </w:tc>
        <w:tc>
          <w:tcPr>
            <w:tcW w:w="1774" w:type="dxa"/>
            <w:vMerge w:val="restart"/>
            <w:tcBorders>
              <w:top w:val="single" w:color="auto" w:sz="4" w:space="0"/>
              <w:left w:val="nil"/>
              <w:bottom w:val="single" w:color="auto" w:sz="4" w:space="0"/>
              <w:right w:val="single" w:color="auto" w:sz="4" w:space="0"/>
            </w:tcBorders>
            <w:vAlign w:val="center"/>
          </w:tcPr>
          <w:p w14:paraId="16F9042A">
            <w:pPr>
              <w:spacing w:line="280" w:lineRule="exact"/>
              <w:jc w:val="center"/>
              <w:rPr>
                <w:rFonts w:ascii="宋体" w:hAnsi="宋体"/>
                <w:kern w:val="0"/>
                <w:szCs w:val="21"/>
              </w:rPr>
            </w:pPr>
            <w:r>
              <w:rPr>
                <w:rFonts w:ascii="宋体" w:hAnsi="宋体"/>
                <w:kern w:val="0"/>
                <w:szCs w:val="21"/>
              </w:rPr>
              <w:t>基准地价评价案例</w:t>
            </w:r>
          </w:p>
        </w:tc>
        <w:tc>
          <w:tcPr>
            <w:tcW w:w="4111" w:type="dxa"/>
            <w:tcBorders>
              <w:top w:val="single" w:color="auto" w:sz="4" w:space="0"/>
              <w:left w:val="nil"/>
              <w:bottom w:val="single" w:color="auto" w:sz="4" w:space="0"/>
              <w:right w:val="single" w:color="auto" w:sz="4" w:space="0"/>
            </w:tcBorders>
            <w:vAlign w:val="center"/>
          </w:tcPr>
          <w:p w14:paraId="2D137B05">
            <w:pPr>
              <w:spacing w:line="280" w:lineRule="exact"/>
              <w:jc w:val="center"/>
              <w:rPr>
                <w:rFonts w:ascii="宋体" w:hAnsi="宋体"/>
                <w:kern w:val="0"/>
                <w:szCs w:val="21"/>
              </w:rPr>
            </w:pPr>
            <w:r>
              <w:rPr>
                <w:rFonts w:ascii="宋体" w:hAnsi="宋体"/>
                <w:szCs w:val="21"/>
              </w:rPr>
              <w:t>国有农用地</w:t>
            </w:r>
            <w:r>
              <w:rPr>
                <w:rFonts w:ascii="宋体" w:hAnsi="宋体"/>
                <w:kern w:val="0"/>
                <w:szCs w:val="21"/>
              </w:rPr>
              <w:t>定级与基准地价评估资料和相关报告</w:t>
            </w:r>
          </w:p>
        </w:tc>
        <w:tc>
          <w:tcPr>
            <w:tcW w:w="1638" w:type="dxa"/>
            <w:vMerge w:val="continue"/>
            <w:tcBorders>
              <w:left w:val="single" w:color="auto" w:sz="4" w:space="0"/>
              <w:right w:val="single" w:color="auto" w:sz="4" w:space="0"/>
            </w:tcBorders>
            <w:vAlign w:val="center"/>
          </w:tcPr>
          <w:p w14:paraId="139439FD">
            <w:pPr>
              <w:spacing w:line="280" w:lineRule="exact"/>
              <w:jc w:val="center"/>
              <w:rPr>
                <w:rFonts w:ascii="宋体" w:hAnsi="宋体"/>
                <w:color w:val="FF0000"/>
                <w:kern w:val="0"/>
                <w:szCs w:val="21"/>
              </w:rPr>
            </w:pPr>
          </w:p>
        </w:tc>
      </w:tr>
      <w:tr w14:paraId="5A1E011F">
        <w:tblPrEx>
          <w:tblCellMar>
            <w:top w:w="0" w:type="dxa"/>
            <w:left w:w="108" w:type="dxa"/>
            <w:bottom w:w="0" w:type="dxa"/>
            <w:right w:w="108" w:type="dxa"/>
          </w:tblCellMar>
        </w:tblPrEx>
        <w:trPr>
          <w:trHeight w:val="43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023E203D">
            <w:pPr>
              <w:spacing w:line="280" w:lineRule="exact"/>
              <w:rPr>
                <w:rFonts w:ascii="宋体" w:hAnsi="宋体"/>
                <w:kern w:val="0"/>
                <w:szCs w:val="21"/>
              </w:rPr>
            </w:pPr>
          </w:p>
        </w:tc>
        <w:tc>
          <w:tcPr>
            <w:tcW w:w="1774" w:type="dxa"/>
            <w:vMerge w:val="continue"/>
            <w:tcBorders>
              <w:top w:val="single" w:color="auto" w:sz="4" w:space="0"/>
              <w:left w:val="nil"/>
              <w:bottom w:val="single" w:color="auto" w:sz="4" w:space="0"/>
              <w:right w:val="single" w:color="auto" w:sz="4" w:space="0"/>
            </w:tcBorders>
            <w:vAlign w:val="center"/>
          </w:tcPr>
          <w:p w14:paraId="44D3C64E">
            <w:pPr>
              <w:spacing w:line="280" w:lineRule="exact"/>
              <w:rPr>
                <w:rFonts w:ascii="宋体" w:hAnsi="宋体"/>
                <w:kern w:val="0"/>
                <w:szCs w:val="21"/>
              </w:rPr>
            </w:pPr>
          </w:p>
        </w:tc>
        <w:tc>
          <w:tcPr>
            <w:tcW w:w="4111" w:type="dxa"/>
            <w:tcBorders>
              <w:top w:val="single" w:color="auto" w:sz="4" w:space="0"/>
              <w:left w:val="nil"/>
              <w:bottom w:val="single" w:color="auto" w:sz="4" w:space="0"/>
              <w:right w:val="single" w:color="auto" w:sz="4" w:space="0"/>
            </w:tcBorders>
            <w:vAlign w:val="center"/>
          </w:tcPr>
          <w:p w14:paraId="09B99377">
            <w:pPr>
              <w:spacing w:line="280" w:lineRule="exact"/>
              <w:jc w:val="center"/>
              <w:rPr>
                <w:rFonts w:ascii="宋体" w:hAnsi="宋体"/>
                <w:kern w:val="0"/>
                <w:szCs w:val="21"/>
              </w:rPr>
            </w:pPr>
            <w:r>
              <w:rPr>
                <w:rFonts w:ascii="宋体" w:hAnsi="宋体"/>
                <w:szCs w:val="21"/>
              </w:rPr>
              <w:t>国有农用地</w:t>
            </w:r>
            <w:r>
              <w:rPr>
                <w:rFonts w:ascii="宋体" w:hAnsi="宋体"/>
                <w:kern w:val="0"/>
                <w:szCs w:val="21"/>
              </w:rPr>
              <w:t>宗地评估典型案例资料</w:t>
            </w:r>
          </w:p>
        </w:tc>
        <w:tc>
          <w:tcPr>
            <w:tcW w:w="1638" w:type="dxa"/>
            <w:vMerge w:val="continue"/>
            <w:tcBorders>
              <w:left w:val="single" w:color="auto" w:sz="4" w:space="0"/>
              <w:right w:val="single" w:color="auto" w:sz="4" w:space="0"/>
            </w:tcBorders>
            <w:vAlign w:val="center"/>
          </w:tcPr>
          <w:p w14:paraId="341D5E64">
            <w:pPr>
              <w:spacing w:line="280" w:lineRule="exact"/>
              <w:jc w:val="center"/>
              <w:rPr>
                <w:rFonts w:ascii="宋体" w:hAnsi="宋体"/>
                <w:kern w:val="0"/>
                <w:szCs w:val="21"/>
              </w:rPr>
            </w:pPr>
          </w:p>
        </w:tc>
      </w:tr>
      <w:tr w14:paraId="07504E55">
        <w:tblPrEx>
          <w:tblCellMar>
            <w:top w:w="0" w:type="dxa"/>
            <w:left w:w="108" w:type="dxa"/>
            <w:bottom w:w="0" w:type="dxa"/>
            <w:right w:w="108" w:type="dxa"/>
          </w:tblCellMar>
        </w:tblPrEx>
        <w:trPr>
          <w:trHeight w:val="397" w:hRule="exact"/>
          <w:jc w:val="center"/>
        </w:trPr>
        <w:tc>
          <w:tcPr>
            <w:tcW w:w="773" w:type="dxa"/>
            <w:vMerge w:val="continue"/>
            <w:tcBorders>
              <w:top w:val="nil"/>
              <w:left w:val="single" w:color="auto" w:sz="4" w:space="0"/>
              <w:bottom w:val="single" w:color="auto" w:sz="4" w:space="0"/>
              <w:right w:val="single" w:color="auto" w:sz="4" w:space="0"/>
            </w:tcBorders>
            <w:vAlign w:val="center"/>
          </w:tcPr>
          <w:p w14:paraId="43180240">
            <w:pPr>
              <w:spacing w:line="280" w:lineRule="exact"/>
              <w:rPr>
                <w:rFonts w:ascii="宋体" w:hAnsi="宋体"/>
                <w:kern w:val="0"/>
                <w:szCs w:val="21"/>
              </w:rPr>
            </w:pPr>
          </w:p>
        </w:tc>
        <w:tc>
          <w:tcPr>
            <w:tcW w:w="1774" w:type="dxa"/>
            <w:vMerge w:val="continue"/>
            <w:tcBorders>
              <w:top w:val="nil"/>
              <w:left w:val="single" w:color="auto" w:sz="4" w:space="0"/>
              <w:bottom w:val="single" w:color="auto" w:sz="4" w:space="0"/>
              <w:right w:val="single" w:color="auto" w:sz="4" w:space="0"/>
            </w:tcBorders>
            <w:vAlign w:val="center"/>
          </w:tcPr>
          <w:p w14:paraId="31FD0755">
            <w:pPr>
              <w:spacing w:line="280" w:lineRule="exact"/>
              <w:rPr>
                <w:rFonts w:ascii="宋体" w:hAnsi="宋体"/>
                <w:kern w:val="0"/>
                <w:szCs w:val="21"/>
              </w:rPr>
            </w:pPr>
          </w:p>
        </w:tc>
        <w:tc>
          <w:tcPr>
            <w:tcW w:w="4111" w:type="dxa"/>
            <w:tcBorders>
              <w:top w:val="nil"/>
              <w:left w:val="nil"/>
              <w:bottom w:val="single" w:color="auto" w:sz="4" w:space="0"/>
              <w:right w:val="single" w:color="auto" w:sz="4" w:space="0"/>
            </w:tcBorders>
            <w:vAlign w:val="center"/>
          </w:tcPr>
          <w:p w14:paraId="5DD62AB5">
            <w:pPr>
              <w:spacing w:line="280" w:lineRule="exact"/>
              <w:jc w:val="center"/>
              <w:rPr>
                <w:rFonts w:ascii="宋体" w:hAnsi="宋体"/>
                <w:kern w:val="0"/>
                <w:szCs w:val="21"/>
              </w:rPr>
            </w:pPr>
            <w:r>
              <w:rPr>
                <w:rFonts w:ascii="宋体" w:hAnsi="宋体"/>
                <w:kern w:val="0"/>
                <w:szCs w:val="21"/>
              </w:rPr>
              <w:t>农贸市场分布与交通状况</w:t>
            </w:r>
          </w:p>
        </w:tc>
        <w:tc>
          <w:tcPr>
            <w:tcW w:w="1638" w:type="dxa"/>
            <w:vMerge w:val="continue"/>
            <w:tcBorders>
              <w:left w:val="single" w:color="auto" w:sz="4" w:space="0"/>
              <w:right w:val="single" w:color="auto" w:sz="4" w:space="0"/>
            </w:tcBorders>
            <w:vAlign w:val="center"/>
          </w:tcPr>
          <w:p w14:paraId="0958C9C4">
            <w:pPr>
              <w:spacing w:line="280" w:lineRule="exact"/>
              <w:jc w:val="center"/>
              <w:rPr>
                <w:rFonts w:ascii="宋体" w:hAnsi="宋体"/>
                <w:kern w:val="0"/>
                <w:szCs w:val="21"/>
              </w:rPr>
            </w:pPr>
          </w:p>
        </w:tc>
      </w:tr>
      <w:tr w14:paraId="5E182C57">
        <w:tblPrEx>
          <w:tblCellMar>
            <w:top w:w="0" w:type="dxa"/>
            <w:left w:w="108" w:type="dxa"/>
            <w:bottom w:w="0" w:type="dxa"/>
            <w:right w:w="108" w:type="dxa"/>
          </w:tblCellMar>
        </w:tblPrEx>
        <w:trPr>
          <w:trHeight w:val="624" w:hRule="atLeast"/>
          <w:jc w:val="center"/>
        </w:trPr>
        <w:tc>
          <w:tcPr>
            <w:tcW w:w="773" w:type="dxa"/>
            <w:vMerge w:val="restart"/>
            <w:tcBorders>
              <w:top w:val="single" w:color="auto" w:sz="4" w:space="0"/>
              <w:left w:val="single" w:color="auto" w:sz="4" w:space="0"/>
              <w:right w:val="single" w:color="auto" w:sz="4" w:space="0"/>
            </w:tcBorders>
            <w:vAlign w:val="center"/>
          </w:tcPr>
          <w:p w14:paraId="62B36C3E">
            <w:pPr>
              <w:spacing w:line="280" w:lineRule="exact"/>
              <w:jc w:val="center"/>
              <w:rPr>
                <w:rFonts w:ascii="宋体" w:hAnsi="宋体"/>
                <w:kern w:val="0"/>
                <w:szCs w:val="21"/>
              </w:rPr>
            </w:pPr>
            <w:r>
              <w:rPr>
                <w:rFonts w:ascii="宋体" w:hAnsi="宋体"/>
                <w:kern w:val="0"/>
                <w:szCs w:val="21"/>
              </w:rPr>
              <w:t>4</w:t>
            </w:r>
          </w:p>
        </w:tc>
        <w:tc>
          <w:tcPr>
            <w:tcW w:w="1774" w:type="dxa"/>
            <w:vMerge w:val="restart"/>
            <w:tcBorders>
              <w:top w:val="single" w:color="auto" w:sz="4" w:space="0"/>
              <w:left w:val="nil"/>
              <w:right w:val="single" w:color="auto" w:sz="4" w:space="0"/>
            </w:tcBorders>
            <w:vAlign w:val="center"/>
          </w:tcPr>
          <w:p w14:paraId="57F50B1A">
            <w:pPr>
              <w:spacing w:line="280" w:lineRule="exact"/>
              <w:jc w:val="center"/>
              <w:rPr>
                <w:rFonts w:ascii="宋体" w:hAnsi="宋体"/>
                <w:kern w:val="0"/>
                <w:szCs w:val="21"/>
              </w:rPr>
            </w:pPr>
            <w:r>
              <w:rPr>
                <w:rFonts w:ascii="宋体" w:hAnsi="宋体"/>
                <w:kern w:val="0"/>
                <w:szCs w:val="21"/>
              </w:rPr>
              <w:t>社会经济资料</w:t>
            </w:r>
          </w:p>
        </w:tc>
        <w:tc>
          <w:tcPr>
            <w:tcW w:w="4111" w:type="dxa"/>
            <w:tcBorders>
              <w:top w:val="single" w:color="auto" w:sz="4" w:space="0"/>
              <w:left w:val="nil"/>
              <w:bottom w:val="single" w:color="auto" w:sz="4" w:space="0"/>
              <w:right w:val="single" w:color="auto" w:sz="4" w:space="0"/>
            </w:tcBorders>
            <w:vAlign w:val="center"/>
          </w:tcPr>
          <w:p w14:paraId="42014C51">
            <w:pPr>
              <w:spacing w:line="280" w:lineRule="exact"/>
              <w:jc w:val="center"/>
              <w:rPr>
                <w:rFonts w:ascii="宋体" w:hAnsi="宋体"/>
                <w:kern w:val="0"/>
                <w:szCs w:val="21"/>
              </w:rPr>
            </w:pPr>
            <w:r>
              <w:rPr>
                <w:rFonts w:ascii="宋体" w:hAnsi="宋体"/>
                <w:szCs w:val="21"/>
              </w:rPr>
              <w:t>国有农用地</w:t>
            </w:r>
            <w:r>
              <w:rPr>
                <w:rFonts w:ascii="宋体" w:hAnsi="宋体"/>
                <w:kern w:val="0"/>
                <w:szCs w:val="21"/>
              </w:rPr>
              <w:t>承包、转包、出租、拍卖、抵押、联营入股等交易资料</w:t>
            </w:r>
          </w:p>
        </w:tc>
        <w:tc>
          <w:tcPr>
            <w:tcW w:w="1638" w:type="dxa"/>
            <w:vMerge w:val="continue"/>
            <w:tcBorders>
              <w:left w:val="single" w:color="auto" w:sz="4" w:space="0"/>
              <w:right w:val="single" w:color="auto" w:sz="4" w:space="0"/>
            </w:tcBorders>
            <w:vAlign w:val="center"/>
          </w:tcPr>
          <w:p w14:paraId="0F913CA2">
            <w:pPr>
              <w:spacing w:line="280" w:lineRule="exact"/>
              <w:jc w:val="center"/>
              <w:rPr>
                <w:rFonts w:ascii="宋体" w:hAnsi="宋体"/>
                <w:kern w:val="0"/>
                <w:szCs w:val="21"/>
              </w:rPr>
            </w:pPr>
          </w:p>
        </w:tc>
      </w:tr>
      <w:tr w14:paraId="4B0704E7">
        <w:tblPrEx>
          <w:tblCellMar>
            <w:top w:w="0" w:type="dxa"/>
            <w:left w:w="108" w:type="dxa"/>
            <w:bottom w:w="0" w:type="dxa"/>
            <w:right w:w="108" w:type="dxa"/>
          </w:tblCellMar>
        </w:tblPrEx>
        <w:trPr>
          <w:trHeight w:val="624" w:hRule="atLeast"/>
          <w:jc w:val="center"/>
        </w:trPr>
        <w:tc>
          <w:tcPr>
            <w:tcW w:w="773" w:type="dxa"/>
            <w:vMerge w:val="continue"/>
            <w:tcBorders>
              <w:left w:val="single" w:color="auto" w:sz="4" w:space="0"/>
              <w:right w:val="single" w:color="auto" w:sz="4" w:space="0"/>
            </w:tcBorders>
            <w:vAlign w:val="center"/>
          </w:tcPr>
          <w:p w14:paraId="52701F21">
            <w:pPr>
              <w:spacing w:line="280" w:lineRule="exact"/>
              <w:rPr>
                <w:rFonts w:ascii="宋体" w:hAnsi="宋体"/>
                <w:kern w:val="0"/>
                <w:szCs w:val="21"/>
              </w:rPr>
            </w:pPr>
          </w:p>
        </w:tc>
        <w:tc>
          <w:tcPr>
            <w:tcW w:w="1774" w:type="dxa"/>
            <w:vMerge w:val="continue"/>
            <w:tcBorders>
              <w:left w:val="nil"/>
              <w:right w:val="single" w:color="auto" w:sz="4" w:space="0"/>
            </w:tcBorders>
            <w:vAlign w:val="center"/>
          </w:tcPr>
          <w:p w14:paraId="322ABD39">
            <w:pPr>
              <w:spacing w:line="280" w:lineRule="exact"/>
              <w:rPr>
                <w:rFonts w:ascii="宋体" w:hAnsi="宋体"/>
                <w:kern w:val="0"/>
                <w:szCs w:val="21"/>
              </w:rPr>
            </w:pPr>
          </w:p>
        </w:tc>
        <w:tc>
          <w:tcPr>
            <w:tcW w:w="4111" w:type="dxa"/>
            <w:tcBorders>
              <w:top w:val="single" w:color="auto" w:sz="4" w:space="0"/>
              <w:left w:val="nil"/>
              <w:bottom w:val="single" w:color="auto" w:sz="4" w:space="0"/>
              <w:right w:val="single" w:color="auto" w:sz="4" w:space="0"/>
            </w:tcBorders>
            <w:vAlign w:val="center"/>
          </w:tcPr>
          <w:p w14:paraId="2A6D35D1">
            <w:pPr>
              <w:spacing w:line="280" w:lineRule="exact"/>
              <w:jc w:val="center"/>
              <w:rPr>
                <w:rFonts w:ascii="宋体" w:hAnsi="宋体"/>
                <w:kern w:val="0"/>
                <w:szCs w:val="21"/>
              </w:rPr>
            </w:pPr>
            <w:r>
              <w:rPr>
                <w:rFonts w:ascii="宋体" w:hAnsi="宋体"/>
                <w:kern w:val="0"/>
                <w:szCs w:val="21"/>
              </w:rPr>
              <w:t>农地征用的补偿标准文件</w:t>
            </w:r>
          </w:p>
        </w:tc>
        <w:tc>
          <w:tcPr>
            <w:tcW w:w="1638" w:type="dxa"/>
            <w:vMerge w:val="continue"/>
            <w:tcBorders>
              <w:left w:val="single" w:color="auto" w:sz="4" w:space="0"/>
              <w:right w:val="single" w:color="auto" w:sz="4" w:space="0"/>
            </w:tcBorders>
            <w:vAlign w:val="center"/>
          </w:tcPr>
          <w:p w14:paraId="09FBF819">
            <w:pPr>
              <w:spacing w:line="280" w:lineRule="exact"/>
              <w:jc w:val="center"/>
              <w:rPr>
                <w:rFonts w:ascii="宋体" w:hAnsi="宋体"/>
                <w:kern w:val="0"/>
                <w:szCs w:val="21"/>
              </w:rPr>
            </w:pPr>
          </w:p>
        </w:tc>
      </w:tr>
      <w:tr w14:paraId="5B3717B3">
        <w:tblPrEx>
          <w:tblCellMar>
            <w:top w:w="0" w:type="dxa"/>
            <w:left w:w="108" w:type="dxa"/>
            <w:bottom w:w="0" w:type="dxa"/>
            <w:right w:w="108" w:type="dxa"/>
          </w:tblCellMar>
        </w:tblPrEx>
        <w:trPr>
          <w:trHeight w:val="624" w:hRule="atLeast"/>
          <w:jc w:val="center"/>
        </w:trPr>
        <w:tc>
          <w:tcPr>
            <w:tcW w:w="773" w:type="dxa"/>
            <w:vMerge w:val="continue"/>
            <w:tcBorders>
              <w:left w:val="single" w:color="auto" w:sz="4" w:space="0"/>
              <w:bottom w:val="single" w:color="auto" w:sz="4" w:space="0"/>
              <w:right w:val="single" w:color="auto" w:sz="4" w:space="0"/>
            </w:tcBorders>
            <w:vAlign w:val="center"/>
          </w:tcPr>
          <w:p w14:paraId="7E9C2C76">
            <w:pPr>
              <w:spacing w:line="280" w:lineRule="exact"/>
              <w:rPr>
                <w:rFonts w:ascii="宋体" w:hAnsi="宋体"/>
                <w:kern w:val="0"/>
                <w:szCs w:val="21"/>
              </w:rPr>
            </w:pPr>
          </w:p>
        </w:tc>
        <w:tc>
          <w:tcPr>
            <w:tcW w:w="1774" w:type="dxa"/>
            <w:vMerge w:val="continue"/>
            <w:tcBorders>
              <w:left w:val="nil"/>
              <w:bottom w:val="single" w:color="auto" w:sz="4" w:space="0"/>
              <w:right w:val="single" w:color="auto" w:sz="4" w:space="0"/>
            </w:tcBorders>
            <w:vAlign w:val="center"/>
          </w:tcPr>
          <w:p w14:paraId="01D1EC8E">
            <w:pPr>
              <w:spacing w:line="280" w:lineRule="exact"/>
              <w:rPr>
                <w:rFonts w:ascii="宋体" w:hAnsi="宋体"/>
                <w:kern w:val="0"/>
                <w:szCs w:val="21"/>
              </w:rPr>
            </w:pPr>
          </w:p>
        </w:tc>
        <w:tc>
          <w:tcPr>
            <w:tcW w:w="4111" w:type="dxa"/>
            <w:tcBorders>
              <w:top w:val="single" w:color="auto" w:sz="4" w:space="0"/>
              <w:left w:val="nil"/>
              <w:bottom w:val="single" w:color="auto" w:sz="4" w:space="0"/>
              <w:right w:val="single" w:color="auto" w:sz="4" w:space="0"/>
            </w:tcBorders>
            <w:vAlign w:val="center"/>
          </w:tcPr>
          <w:p w14:paraId="4777C65E">
            <w:pPr>
              <w:spacing w:line="280" w:lineRule="exact"/>
              <w:jc w:val="center"/>
              <w:rPr>
                <w:rFonts w:ascii="宋体" w:hAnsi="宋体"/>
                <w:kern w:val="0"/>
                <w:szCs w:val="21"/>
              </w:rPr>
            </w:pPr>
            <w:r>
              <w:rPr>
                <w:rFonts w:ascii="宋体" w:hAnsi="宋体"/>
                <w:kern w:val="0"/>
                <w:szCs w:val="21"/>
              </w:rPr>
              <w:t>农地历史地价资料</w:t>
            </w:r>
          </w:p>
        </w:tc>
        <w:tc>
          <w:tcPr>
            <w:tcW w:w="1638" w:type="dxa"/>
            <w:vMerge w:val="continue"/>
            <w:tcBorders>
              <w:left w:val="single" w:color="auto" w:sz="4" w:space="0"/>
              <w:bottom w:val="single" w:color="auto" w:sz="4" w:space="0"/>
              <w:right w:val="single" w:color="auto" w:sz="4" w:space="0"/>
            </w:tcBorders>
            <w:vAlign w:val="center"/>
          </w:tcPr>
          <w:p w14:paraId="775758FA">
            <w:pPr>
              <w:spacing w:line="280" w:lineRule="exact"/>
              <w:rPr>
                <w:rFonts w:ascii="宋体" w:hAnsi="宋体"/>
                <w:kern w:val="0"/>
                <w:szCs w:val="21"/>
              </w:rPr>
            </w:pPr>
          </w:p>
        </w:tc>
      </w:tr>
      <w:tr w14:paraId="5C6FBFD7">
        <w:tblPrEx>
          <w:tblCellMar>
            <w:top w:w="0" w:type="dxa"/>
            <w:left w:w="108" w:type="dxa"/>
            <w:bottom w:w="0" w:type="dxa"/>
            <w:right w:w="108" w:type="dxa"/>
          </w:tblCellMar>
        </w:tblPrEx>
        <w:trPr>
          <w:trHeight w:val="397" w:hRule="exact"/>
          <w:jc w:val="center"/>
        </w:trPr>
        <w:tc>
          <w:tcPr>
            <w:tcW w:w="773" w:type="dxa"/>
            <w:vMerge w:val="restart"/>
            <w:tcBorders>
              <w:top w:val="single" w:color="auto" w:sz="4" w:space="0"/>
              <w:left w:val="single" w:color="auto" w:sz="4" w:space="0"/>
              <w:bottom w:val="single" w:color="auto" w:sz="4" w:space="0"/>
              <w:right w:val="single" w:color="auto" w:sz="4" w:space="0"/>
            </w:tcBorders>
            <w:vAlign w:val="center"/>
          </w:tcPr>
          <w:p w14:paraId="4AE9D41F">
            <w:pPr>
              <w:spacing w:line="280" w:lineRule="exact"/>
              <w:jc w:val="center"/>
              <w:rPr>
                <w:rFonts w:ascii="宋体" w:hAnsi="宋体"/>
                <w:kern w:val="0"/>
                <w:szCs w:val="21"/>
              </w:rPr>
            </w:pPr>
            <w:r>
              <w:rPr>
                <w:rFonts w:ascii="宋体" w:hAnsi="宋体"/>
                <w:kern w:val="0"/>
                <w:szCs w:val="21"/>
              </w:rPr>
              <w:t>5</w:t>
            </w:r>
          </w:p>
        </w:tc>
        <w:tc>
          <w:tcPr>
            <w:tcW w:w="1774" w:type="dxa"/>
            <w:vMerge w:val="restart"/>
            <w:tcBorders>
              <w:top w:val="single" w:color="auto" w:sz="4" w:space="0"/>
              <w:left w:val="single" w:color="auto" w:sz="4" w:space="0"/>
              <w:bottom w:val="single" w:color="auto" w:sz="4" w:space="0"/>
              <w:right w:val="single" w:color="auto" w:sz="4" w:space="0"/>
            </w:tcBorders>
            <w:vAlign w:val="center"/>
          </w:tcPr>
          <w:p w14:paraId="52BCD60A">
            <w:pPr>
              <w:spacing w:line="280" w:lineRule="exact"/>
              <w:jc w:val="center"/>
              <w:rPr>
                <w:rFonts w:ascii="宋体" w:hAnsi="宋体"/>
                <w:kern w:val="0"/>
                <w:szCs w:val="21"/>
              </w:rPr>
            </w:pPr>
            <w:r>
              <w:rPr>
                <w:rFonts w:ascii="宋体" w:hAnsi="宋体"/>
                <w:kern w:val="0"/>
                <w:szCs w:val="21"/>
              </w:rPr>
              <w:t>土壤状况资料</w:t>
            </w:r>
          </w:p>
        </w:tc>
        <w:tc>
          <w:tcPr>
            <w:tcW w:w="4111" w:type="dxa"/>
            <w:tcBorders>
              <w:top w:val="single" w:color="auto" w:sz="4" w:space="0"/>
              <w:left w:val="single" w:color="auto" w:sz="4" w:space="0"/>
              <w:bottom w:val="single" w:color="auto" w:sz="4" w:space="0"/>
              <w:right w:val="single" w:color="auto" w:sz="4" w:space="0"/>
            </w:tcBorders>
            <w:vAlign w:val="center"/>
          </w:tcPr>
          <w:p w14:paraId="653AF562">
            <w:pPr>
              <w:spacing w:line="280" w:lineRule="exact"/>
              <w:jc w:val="center"/>
              <w:rPr>
                <w:rFonts w:ascii="宋体" w:hAnsi="宋体"/>
                <w:kern w:val="0"/>
                <w:szCs w:val="21"/>
              </w:rPr>
            </w:pPr>
            <w:r>
              <w:rPr>
                <w:rFonts w:ascii="宋体" w:hAnsi="宋体"/>
                <w:kern w:val="0"/>
                <w:szCs w:val="21"/>
              </w:rPr>
              <w:t>土壤志</w:t>
            </w:r>
          </w:p>
        </w:tc>
        <w:tc>
          <w:tcPr>
            <w:tcW w:w="1638" w:type="dxa"/>
            <w:vMerge w:val="restart"/>
            <w:tcBorders>
              <w:top w:val="single" w:color="auto" w:sz="4" w:space="0"/>
              <w:left w:val="single" w:color="auto" w:sz="4" w:space="0"/>
              <w:bottom w:val="single" w:color="auto" w:sz="4" w:space="0"/>
              <w:right w:val="single" w:color="auto" w:sz="4" w:space="0"/>
            </w:tcBorders>
            <w:vAlign w:val="center"/>
          </w:tcPr>
          <w:p w14:paraId="78ACA57D">
            <w:pPr>
              <w:spacing w:line="280" w:lineRule="exact"/>
              <w:jc w:val="center"/>
              <w:rPr>
                <w:rFonts w:ascii="宋体" w:hAnsi="宋体"/>
                <w:kern w:val="0"/>
                <w:szCs w:val="21"/>
              </w:rPr>
            </w:pPr>
            <w:r>
              <w:rPr>
                <w:rFonts w:ascii="宋体" w:hAnsi="宋体"/>
                <w:kern w:val="0"/>
                <w:szCs w:val="21"/>
              </w:rPr>
              <w:t>农业局土肥站</w:t>
            </w:r>
          </w:p>
        </w:tc>
      </w:tr>
      <w:tr w14:paraId="4806F136">
        <w:tblPrEx>
          <w:tblCellMar>
            <w:top w:w="0" w:type="dxa"/>
            <w:left w:w="108" w:type="dxa"/>
            <w:bottom w:w="0" w:type="dxa"/>
            <w:right w:w="108" w:type="dxa"/>
          </w:tblCellMar>
        </w:tblPrEx>
        <w:trPr>
          <w:trHeight w:val="397" w:hRule="exac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70E8CE21">
            <w:pPr>
              <w:spacing w:line="280" w:lineRule="exact"/>
              <w:rPr>
                <w:rFonts w:ascii="宋体" w:hAnsi="宋体"/>
                <w:kern w:val="0"/>
                <w:szCs w:val="21"/>
              </w:rPr>
            </w:pPr>
          </w:p>
        </w:tc>
        <w:tc>
          <w:tcPr>
            <w:tcW w:w="1774" w:type="dxa"/>
            <w:vMerge w:val="continue"/>
            <w:tcBorders>
              <w:top w:val="single" w:color="auto" w:sz="4" w:space="0"/>
              <w:left w:val="single" w:color="auto" w:sz="4" w:space="0"/>
              <w:bottom w:val="single" w:color="auto" w:sz="4" w:space="0"/>
              <w:right w:val="single" w:color="auto" w:sz="4" w:space="0"/>
            </w:tcBorders>
            <w:vAlign w:val="center"/>
          </w:tcPr>
          <w:p w14:paraId="03C71BE8">
            <w:pPr>
              <w:spacing w:line="280" w:lineRule="exact"/>
              <w:rPr>
                <w:rFonts w:ascii="宋体" w:hAnsi="宋体"/>
                <w:kern w:val="0"/>
                <w:szCs w:val="21"/>
              </w:rPr>
            </w:pPr>
          </w:p>
        </w:tc>
        <w:tc>
          <w:tcPr>
            <w:tcW w:w="4111" w:type="dxa"/>
            <w:tcBorders>
              <w:top w:val="single" w:color="auto" w:sz="4" w:space="0"/>
              <w:left w:val="nil"/>
              <w:bottom w:val="single" w:color="auto" w:sz="4" w:space="0"/>
              <w:right w:val="single" w:color="auto" w:sz="4" w:space="0"/>
            </w:tcBorders>
            <w:vAlign w:val="center"/>
          </w:tcPr>
          <w:p w14:paraId="1E522C18">
            <w:pPr>
              <w:spacing w:line="280" w:lineRule="exact"/>
              <w:jc w:val="center"/>
              <w:rPr>
                <w:rFonts w:ascii="宋体" w:hAnsi="宋体"/>
                <w:kern w:val="0"/>
                <w:szCs w:val="21"/>
              </w:rPr>
            </w:pPr>
            <w:r>
              <w:rPr>
                <w:rFonts w:ascii="宋体" w:hAnsi="宋体"/>
                <w:kern w:val="0"/>
                <w:szCs w:val="21"/>
              </w:rPr>
              <w:t>土壤图</w:t>
            </w:r>
          </w:p>
        </w:tc>
        <w:tc>
          <w:tcPr>
            <w:tcW w:w="1638" w:type="dxa"/>
            <w:vMerge w:val="continue"/>
            <w:tcBorders>
              <w:top w:val="single" w:color="auto" w:sz="4" w:space="0"/>
              <w:left w:val="single" w:color="auto" w:sz="4" w:space="0"/>
              <w:bottom w:val="single" w:color="auto" w:sz="4" w:space="0"/>
              <w:right w:val="single" w:color="auto" w:sz="4" w:space="0"/>
            </w:tcBorders>
            <w:vAlign w:val="center"/>
          </w:tcPr>
          <w:p w14:paraId="58E286E1">
            <w:pPr>
              <w:spacing w:line="280" w:lineRule="exact"/>
              <w:rPr>
                <w:rFonts w:ascii="宋体" w:hAnsi="宋体"/>
                <w:kern w:val="0"/>
                <w:szCs w:val="21"/>
              </w:rPr>
            </w:pPr>
          </w:p>
        </w:tc>
      </w:tr>
      <w:tr w14:paraId="782D21B8">
        <w:tblPrEx>
          <w:tblCellMar>
            <w:top w:w="0" w:type="dxa"/>
            <w:left w:w="108" w:type="dxa"/>
            <w:bottom w:w="0" w:type="dxa"/>
            <w:right w:w="108" w:type="dxa"/>
          </w:tblCellMar>
        </w:tblPrEx>
        <w:trPr>
          <w:trHeight w:val="624" w:hRule="atLeast"/>
          <w:jc w:val="center"/>
        </w:trPr>
        <w:tc>
          <w:tcPr>
            <w:tcW w:w="773" w:type="dxa"/>
            <w:tcBorders>
              <w:top w:val="single" w:color="auto" w:sz="4" w:space="0"/>
              <w:left w:val="single" w:color="auto" w:sz="4" w:space="0"/>
              <w:bottom w:val="single" w:color="auto" w:sz="4" w:space="0"/>
              <w:right w:val="single" w:color="auto" w:sz="4" w:space="0"/>
            </w:tcBorders>
            <w:vAlign w:val="center"/>
          </w:tcPr>
          <w:p w14:paraId="090712A3">
            <w:pPr>
              <w:spacing w:line="280" w:lineRule="exact"/>
              <w:jc w:val="center"/>
              <w:rPr>
                <w:rFonts w:ascii="宋体" w:hAnsi="宋体"/>
                <w:kern w:val="0"/>
                <w:szCs w:val="21"/>
              </w:rPr>
            </w:pPr>
            <w:r>
              <w:rPr>
                <w:rFonts w:ascii="宋体" w:hAnsi="宋体"/>
                <w:kern w:val="0"/>
                <w:szCs w:val="21"/>
              </w:rPr>
              <w:t>6</w:t>
            </w:r>
          </w:p>
        </w:tc>
        <w:tc>
          <w:tcPr>
            <w:tcW w:w="1774" w:type="dxa"/>
            <w:tcBorders>
              <w:top w:val="single" w:color="auto" w:sz="4" w:space="0"/>
              <w:left w:val="single" w:color="auto" w:sz="4" w:space="0"/>
              <w:bottom w:val="single" w:color="auto" w:sz="4" w:space="0"/>
              <w:right w:val="single" w:color="auto" w:sz="4" w:space="0"/>
            </w:tcBorders>
            <w:vAlign w:val="center"/>
          </w:tcPr>
          <w:p w14:paraId="25A5EF37">
            <w:pPr>
              <w:spacing w:line="280" w:lineRule="exact"/>
              <w:jc w:val="center"/>
              <w:rPr>
                <w:rFonts w:ascii="宋体" w:hAnsi="宋体"/>
                <w:kern w:val="0"/>
                <w:szCs w:val="21"/>
              </w:rPr>
            </w:pPr>
            <w:r>
              <w:rPr>
                <w:rFonts w:ascii="宋体" w:hAnsi="宋体"/>
                <w:kern w:val="0"/>
                <w:szCs w:val="21"/>
              </w:rPr>
              <w:t>社会经济资料</w:t>
            </w:r>
          </w:p>
        </w:tc>
        <w:tc>
          <w:tcPr>
            <w:tcW w:w="4111" w:type="dxa"/>
            <w:tcBorders>
              <w:top w:val="single" w:color="auto" w:sz="4" w:space="0"/>
              <w:left w:val="single" w:color="auto" w:sz="4" w:space="0"/>
              <w:bottom w:val="single" w:color="auto" w:sz="4" w:space="0"/>
              <w:right w:val="single" w:color="auto" w:sz="4" w:space="0"/>
            </w:tcBorders>
            <w:vAlign w:val="center"/>
          </w:tcPr>
          <w:p w14:paraId="766DF465">
            <w:pPr>
              <w:spacing w:line="280" w:lineRule="exact"/>
              <w:jc w:val="center"/>
              <w:rPr>
                <w:rFonts w:ascii="宋体" w:hAnsi="宋体"/>
                <w:kern w:val="0"/>
                <w:szCs w:val="21"/>
              </w:rPr>
            </w:pPr>
            <w:r>
              <w:rPr>
                <w:rFonts w:ascii="宋体" w:hAnsi="宋体"/>
                <w:kern w:val="0"/>
                <w:szCs w:val="21"/>
              </w:rPr>
              <w:t>农业和社会经济发展统计资料</w:t>
            </w:r>
          </w:p>
        </w:tc>
        <w:tc>
          <w:tcPr>
            <w:tcW w:w="1638" w:type="dxa"/>
            <w:tcBorders>
              <w:top w:val="single" w:color="auto" w:sz="4" w:space="0"/>
              <w:left w:val="single" w:color="auto" w:sz="4" w:space="0"/>
              <w:bottom w:val="single" w:color="auto" w:sz="4" w:space="0"/>
              <w:right w:val="single" w:color="auto" w:sz="4" w:space="0"/>
            </w:tcBorders>
            <w:vAlign w:val="center"/>
          </w:tcPr>
          <w:p w14:paraId="552BF620">
            <w:pPr>
              <w:spacing w:line="280" w:lineRule="exact"/>
              <w:jc w:val="center"/>
              <w:rPr>
                <w:rFonts w:ascii="宋体" w:hAnsi="宋体"/>
                <w:kern w:val="0"/>
                <w:szCs w:val="21"/>
              </w:rPr>
            </w:pPr>
            <w:r>
              <w:rPr>
                <w:rFonts w:ascii="宋体" w:hAnsi="宋体"/>
                <w:kern w:val="0"/>
                <w:szCs w:val="21"/>
              </w:rPr>
              <w:t>统计局</w:t>
            </w:r>
          </w:p>
        </w:tc>
      </w:tr>
      <w:tr w14:paraId="7E170290">
        <w:tblPrEx>
          <w:tblCellMar>
            <w:top w:w="0" w:type="dxa"/>
            <w:left w:w="108" w:type="dxa"/>
            <w:bottom w:w="0" w:type="dxa"/>
            <w:right w:w="108" w:type="dxa"/>
          </w:tblCellMar>
        </w:tblPrEx>
        <w:trPr>
          <w:trHeight w:val="454" w:hRule="exact"/>
          <w:jc w:val="center"/>
        </w:trPr>
        <w:tc>
          <w:tcPr>
            <w:tcW w:w="773" w:type="dxa"/>
            <w:vMerge w:val="restart"/>
            <w:tcBorders>
              <w:top w:val="nil"/>
              <w:left w:val="single" w:color="auto" w:sz="4" w:space="0"/>
              <w:bottom w:val="single" w:color="auto" w:sz="4" w:space="0"/>
              <w:right w:val="single" w:color="auto" w:sz="4" w:space="0"/>
            </w:tcBorders>
            <w:vAlign w:val="center"/>
          </w:tcPr>
          <w:p w14:paraId="735D69C5">
            <w:pPr>
              <w:spacing w:line="280" w:lineRule="exact"/>
              <w:jc w:val="center"/>
              <w:rPr>
                <w:rFonts w:ascii="宋体" w:hAnsi="宋体"/>
                <w:kern w:val="0"/>
                <w:szCs w:val="21"/>
              </w:rPr>
            </w:pPr>
            <w:r>
              <w:rPr>
                <w:rFonts w:ascii="宋体" w:hAnsi="宋体"/>
                <w:kern w:val="0"/>
                <w:szCs w:val="21"/>
              </w:rPr>
              <w:t>7</w:t>
            </w:r>
          </w:p>
        </w:tc>
        <w:tc>
          <w:tcPr>
            <w:tcW w:w="1774" w:type="dxa"/>
            <w:vMerge w:val="restart"/>
            <w:tcBorders>
              <w:top w:val="nil"/>
              <w:left w:val="single" w:color="auto" w:sz="4" w:space="0"/>
              <w:bottom w:val="single" w:color="auto" w:sz="4" w:space="0"/>
              <w:right w:val="single" w:color="auto" w:sz="4" w:space="0"/>
            </w:tcBorders>
            <w:vAlign w:val="center"/>
          </w:tcPr>
          <w:p w14:paraId="2AFF48D0">
            <w:pPr>
              <w:spacing w:line="280" w:lineRule="exact"/>
              <w:jc w:val="center"/>
              <w:rPr>
                <w:rFonts w:ascii="宋体" w:hAnsi="宋体"/>
                <w:kern w:val="0"/>
                <w:szCs w:val="21"/>
              </w:rPr>
            </w:pPr>
            <w:r>
              <w:rPr>
                <w:rFonts w:ascii="宋体" w:hAnsi="宋体"/>
                <w:kern w:val="0"/>
                <w:szCs w:val="21"/>
              </w:rPr>
              <w:t>基础设施</w:t>
            </w:r>
          </w:p>
          <w:p w14:paraId="50A3BC93">
            <w:pPr>
              <w:spacing w:line="280" w:lineRule="exact"/>
              <w:jc w:val="center"/>
              <w:rPr>
                <w:rFonts w:ascii="宋体" w:hAnsi="宋体"/>
                <w:kern w:val="0"/>
                <w:szCs w:val="21"/>
              </w:rPr>
            </w:pPr>
            <w:r>
              <w:rPr>
                <w:rFonts w:ascii="宋体" w:hAnsi="宋体"/>
                <w:kern w:val="0"/>
                <w:szCs w:val="21"/>
              </w:rPr>
              <w:t>资料</w:t>
            </w:r>
          </w:p>
        </w:tc>
        <w:tc>
          <w:tcPr>
            <w:tcW w:w="4111" w:type="dxa"/>
            <w:tcBorders>
              <w:top w:val="nil"/>
              <w:left w:val="nil"/>
              <w:bottom w:val="single" w:color="auto" w:sz="4" w:space="0"/>
              <w:right w:val="single" w:color="auto" w:sz="4" w:space="0"/>
            </w:tcBorders>
            <w:vAlign w:val="center"/>
          </w:tcPr>
          <w:p w14:paraId="53B34CC4">
            <w:pPr>
              <w:spacing w:line="280" w:lineRule="exact"/>
              <w:jc w:val="center"/>
              <w:rPr>
                <w:rFonts w:ascii="宋体" w:hAnsi="宋体"/>
                <w:kern w:val="0"/>
                <w:szCs w:val="21"/>
              </w:rPr>
            </w:pPr>
            <w:r>
              <w:rPr>
                <w:rFonts w:ascii="宋体" w:hAnsi="宋体"/>
                <w:kern w:val="0"/>
                <w:szCs w:val="21"/>
              </w:rPr>
              <w:t>灌溉引水渠分布</w:t>
            </w:r>
          </w:p>
        </w:tc>
        <w:tc>
          <w:tcPr>
            <w:tcW w:w="1638" w:type="dxa"/>
            <w:vMerge w:val="restart"/>
            <w:tcBorders>
              <w:top w:val="nil"/>
              <w:left w:val="single" w:color="auto" w:sz="4" w:space="0"/>
              <w:bottom w:val="single" w:color="auto" w:sz="4" w:space="0"/>
              <w:right w:val="single" w:color="auto" w:sz="4" w:space="0"/>
            </w:tcBorders>
            <w:vAlign w:val="center"/>
          </w:tcPr>
          <w:p w14:paraId="2CA8DC6E">
            <w:pPr>
              <w:spacing w:line="280" w:lineRule="exact"/>
              <w:jc w:val="center"/>
              <w:rPr>
                <w:rFonts w:ascii="宋体" w:hAnsi="宋体"/>
                <w:kern w:val="0"/>
                <w:szCs w:val="21"/>
              </w:rPr>
            </w:pPr>
            <w:r>
              <w:rPr>
                <w:rFonts w:ascii="宋体" w:hAnsi="宋体"/>
                <w:kern w:val="0"/>
                <w:szCs w:val="21"/>
              </w:rPr>
              <w:t>水务局</w:t>
            </w:r>
          </w:p>
        </w:tc>
      </w:tr>
      <w:tr w14:paraId="23AB06DC">
        <w:tblPrEx>
          <w:tblCellMar>
            <w:top w:w="0" w:type="dxa"/>
            <w:left w:w="108" w:type="dxa"/>
            <w:bottom w:w="0" w:type="dxa"/>
            <w:right w:w="108" w:type="dxa"/>
          </w:tblCellMar>
        </w:tblPrEx>
        <w:trPr>
          <w:trHeight w:val="454" w:hRule="exact"/>
          <w:jc w:val="center"/>
        </w:trPr>
        <w:tc>
          <w:tcPr>
            <w:tcW w:w="773" w:type="dxa"/>
            <w:vMerge w:val="continue"/>
            <w:tcBorders>
              <w:top w:val="nil"/>
              <w:left w:val="single" w:color="auto" w:sz="4" w:space="0"/>
              <w:bottom w:val="single" w:color="auto" w:sz="4" w:space="0"/>
              <w:right w:val="single" w:color="auto" w:sz="4" w:space="0"/>
            </w:tcBorders>
            <w:vAlign w:val="center"/>
          </w:tcPr>
          <w:p w14:paraId="57CB089F">
            <w:pPr>
              <w:spacing w:line="280" w:lineRule="exact"/>
              <w:rPr>
                <w:rFonts w:ascii="宋体" w:hAnsi="宋体"/>
                <w:kern w:val="0"/>
                <w:szCs w:val="21"/>
              </w:rPr>
            </w:pPr>
          </w:p>
        </w:tc>
        <w:tc>
          <w:tcPr>
            <w:tcW w:w="1774" w:type="dxa"/>
            <w:vMerge w:val="continue"/>
            <w:tcBorders>
              <w:top w:val="nil"/>
              <w:left w:val="single" w:color="auto" w:sz="4" w:space="0"/>
              <w:bottom w:val="single" w:color="auto" w:sz="4" w:space="0"/>
              <w:right w:val="single" w:color="auto" w:sz="4" w:space="0"/>
            </w:tcBorders>
            <w:vAlign w:val="center"/>
          </w:tcPr>
          <w:p w14:paraId="1A2C1F27">
            <w:pPr>
              <w:spacing w:line="280" w:lineRule="exact"/>
              <w:rPr>
                <w:rFonts w:ascii="宋体" w:hAnsi="宋体"/>
                <w:kern w:val="0"/>
                <w:szCs w:val="21"/>
              </w:rPr>
            </w:pPr>
          </w:p>
        </w:tc>
        <w:tc>
          <w:tcPr>
            <w:tcW w:w="4111" w:type="dxa"/>
            <w:tcBorders>
              <w:top w:val="nil"/>
              <w:left w:val="nil"/>
              <w:bottom w:val="single" w:color="auto" w:sz="4" w:space="0"/>
              <w:right w:val="single" w:color="auto" w:sz="4" w:space="0"/>
            </w:tcBorders>
            <w:vAlign w:val="center"/>
          </w:tcPr>
          <w:p w14:paraId="657C22FE">
            <w:pPr>
              <w:spacing w:line="280" w:lineRule="exact"/>
              <w:jc w:val="center"/>
              <w:rPr>
                <w:rFonts w:ascii="宋体" w:hAnsi="宋体"/>
                <w:kern w:val="0"/>
                <w:szCs w:val="21"/>
              </w:rPr>
            </w:pPr>
            <w:r>
              <w:rPr>
                <w:rFonts w:ascii="宋体" w:hAnsi="宋体"/>
                <w:kern w:val="0"/>
                <w:szCs w:val="21"/>
              </w:rPr>
              <w:t>排水沟分布</w:t>
            </w:r>
          </w:p>
        </w:tc>
        <w:tc>
          <w:tcPr>
            <w:tcW w:w="1638" w:type="dxa"/>
            <w:vMerge w:val="continue"/>
            <w:tcBorders>
              <w:top w:val="nil"/>
              <w:left w:val="single" w:color="auto" w:sz="4" w:space="0"/>
              <w:bottom w:val="single" w:color="auto" w:sz="4" w:space="0"/>
              <w:right w:val="single" w:color="auto" w:sz="4" w:space="0"/>
            </w:tcBorders>
            <w:vAlign w:val="center"/>
          </w:tcPr>
          <w:p w14:paraId="3FBB2898">
            <w:pPr>
              <w:spacing w:line="280" w:lineRule="exact"/>
              <w:rPr>
                <w:rFonts w:ascii="宋体" w:hAnsi="宋体"/>
                <w:kern w:val="0"/>
                <w:szCs w:val="21"/>
              </w:rPr>
            </w:pPr>
          </w:p>
        </w:tc>
      </w:tr>
      <w:tr w14:paraId="2E9A413D">
        <w:tblPrEx>
          <w:tblCellMar>
            <w:top w:w="0" w:type="dxa"/>
            <w:left w:w="108" w:type="dxa"/>
            <w:bottom w:w="0" w:type="dxa"/>
            <w:right w:w="108" w:type="dxa"/>
          </w:tblCellMar>
        </w:tblPrEx>
        <w:trPr>
          <w:trHeight w:val="625" w:hRule="atLeast"/>
          <w:jc w:val="center"/>
        </w:trPr>
        <w:tc>
          <w:tcPr>
            <w:tcW w:w="773" w:type="dxa"/>
            <w:vMerge w:val="restart"/>
            <w:tcBorders>
              <w:top w:val="nil"/>
              <w:left w:val="single" w:color="auto" w:sz="4" w:space="0"/>
              <w:bottom w:val="single" w:color="auto" w:sz="4" w:space="0"/>
              <w:right w:val="single" w:color="auto" w:sz="4" w:space="0"/>
            </w:tcBorders>
            <w:vAlign w:val="center"/>
          </w:tcPr>
          <w:p w14:paraId="7F8F45AC">
            <w:pPr>
              <w:spacing w:line="280" w:lineRule="exact"/>
              <w:jc w:val="center"/>
              <w:rPr>
                <w:rFonts w:ascii="宋体" w:hAnsi="宋体"/>
                <w:kern w:val="0"/>
                <w:szCs w:val="21"/>
              </w:rPr>
            </w:pPr>
            <w:r>
              <w:rPr>
                <w:rFonts w:ascii="宋体" w:hAnsi="宋体"/>
                <w:kern w:val="0"/>
                <w:szCs w:val="21"/>
              </w:rPr>
              <w:t>8</w:t>
            </w:r>
          </w:p>
        </w:tc>
        <w:tc>
          <w:tcPr>
            <w:tcW w:w="1774" w:type="dxa"/>
            <w:vMerge w:val="restart"/>
            <w:tcBorders>
              <w:top w:val="nil"/>
              <w:left w:val="single" w:color="auto" w:sz="4" w:space="0"/>
              <w:bottom w:val="single" w:color="auto" w:sz="4" w:space="0"/>
              <w:right w:val="single" w:color="auto" w:sz="4" w:space="0"/>
            </w:tcBorders>
            <w:vAlign w:val="center"/>
          </w:tcPr>
          <w:p w14:paraId="09DCDA9A">
            <w:pPr>
              <w:spacing w:line="280" w:lineRule="exact"/>
              <w:jc w:val="center"/>
              <w:rPr>
                <w:rFonts w:ascii="宋体" w:hAnsi="宋体"/>
                <w:kern w:val="0"/>
                <w:szCs w:val="21"/>
              </w:rPr>
            </w:pPr>
            <w:r>
              <w:rPr>
                <w:rFonts w:ascii="宋体" w:hAnsi="宋体"/>
                <w:kern w:val="0"/>
                <w:szCs w:val="21"/>
              </w:rPr>
              <w:t>交通条件</w:t>
            </w:r>
          </w:p>
        </w:tc>
        <w:tc>
          <w:tcPr>
            <w:tcW w:w="4111" w:type="dxa"/>
            <w:tcBorders>
              <w:top w:val="nil"/>
              <w:left w:val="nil"/>
              <w:bottom w:val="single" w:color="auto" w:sz="4" w:space="0"/>
              <w:right w:val="single" w:color="auto" w:sz="4" w:space="0"/>
            </w:tcBorders>
            <w:vAlign w:val="center"/>
          </w:tcPr>
          <w:p w14:paraId="3C47790B">
            <w:pPr>
              <w:spacing w:line="280" w:lineRule="exact"/>
              <w:jc w:val="center"/>
              <w:rPr>
                <w:rFonts w:ascii="宋体" w:hAnsi="宋体"/>
                <w:kern w:val="0"/>
                <w:szCs w:val="21"/>
              </w:rPr>
            </w:pPr>
            <w:r>
              <w:rPr>
                <w:rFonts w:ascii="宋体" w:hAnsi="宋体"/>
                <w:kern w:val="0"/>
                <w:szCs w:val="21"/>
              </w:rPr>
              <w:t>道路网分布、道路类型、级别标准、道路长度及宽度等数据</w:t>
            </w:r>
          </w:p>
        </w:tc>
        <w:tc>
          <w:tcPr>
            <w:tcW w:w="1638" w:type="dxa"/>
            <w:vMerge w:val="restart"/>
            <w:tcBorders>
              <w:top w:val="nil"/>
              <w:left w:val="single" w:color="auto" w:sz="4" w:space="0"/>
              <w:bottom w:val="single" w:color="auto" w:sz="4" w:space="0"/>
              <w:right w:val="single" w:color="auto" w:sz="4" w:space="0"/>
            </w:tcBorders>
            <w:vAlign w:val="center"/>
          </w:tcPr>
          <w:p w14:paraId="3712ADF5">
            <w:pPr>
              <w:spacing w:line="280" w:lineRule="exact"/>
              <w:jc w:val="center"/>
              <w:rPr>
                <w:rFonts w:ascii="宋体" w:hAnsi="宋体"/>
                <w:kern w:val="0"/>
                <w:szCs w:val="21"/>
              </w:rPr>
            </w:pPr>
            <w:r>
              <w:rPr>
                <w:rFonts w:ascii="宋体" w:hAnsi="宋体"/>
                <w:kern w:val="0"/>
                <w:szCs w:val="21"/>
              </w:rPr>
              <w:t>交通局</w:t>
            </w:r>
          </w:p>
        </w:tc>
      </w:tr>
      <w:tr w14:paraId="03CA089E">
        <w:tblPrEx>
          <w:tblCellMar>
            <w:top w:w="0" w:type="dxa"/>
            <w:left w:w="108" w:type="dxa"/>
            <w:bottom w:w="0" w:type="dxa"/>
            <w:right w:w="108" w:type="dxa"/>
          </w:tblCellMar>
        </w:tblPrEx>
        <w:trPr>
          <w:trHeight w:val="397" w:hRule="exact"/>
          <w:jc w:val="center"/>
        </w:trPr>
        <w:tc>
          <w:tcPr>
            <w:tcW w:w="773" w:type="dxa"/>
            <w:vMerge w:val="continue"/>
            <w:tcBorders>
              <w:top w:val="nil"/>
              <w:left w:val="single" w:color="auto" w:sz="4" w:space="0"/>
              <w:bottom w:val="single" w:color="auto" w:sz="4" w:space="0"/>
              <w:right w:val="single" w:color="auto" w:sz="4" w:space="0"/>
            </w:tcBorders>
            <w:vAlign w:val="center"/>
          </w:tcPr>
          <w:p w14:paraId="261777BA">
            <w:pPr>
              <w:spacing w:line="280" w:lineRule="exact"/>
              <w:rPr>
                <w:rFonts w:ascii="宋体" w:hAnsi="宋体"/>
                <w:kern w:val="0"/>
                <w:szCs w:val="21"/>
              </w:rPr>
            </w:pPr>
          </w:p>
        </w:tc>
        <w:tc>
          <w:tcPr>
            <w:tcW w:w="1774" w:type="dxa"/>
            <w:vMerge w:val="continue"/>
            <w:tcBorders>
              <w:top w:val="nil"/>
              <w:left w:val="single" w:color="auto" w:sz="4" w:space="0"/>
              <w:bottom w:val="single" w:color="auto" w:sz="4" w:space="0"/>
              <w:right w:val="single" w:color="auto" w:sz="4" w:space="0"/>
            </w:tcBorders>
            <w:vAlign w:val="center"/>
          </w:tcPr>
          <w:p w14:paraId="016D8314">
            <w:pPr>
              <w:spacing w:line="280" w:lineRule="exact"/>
              <w:rPr>
                <w:rFonts w:ascii="宋体" w:hAnsi="宋体"/>
                <w:kern w:val="0"/>
                <w:szCs w:val="21"/>
              </w:rPr>
            </w:pPr>
          </w:p>
        </w:tc>
        <w:tc>
          <w:tcPr>
            <w:tcW w:w="4111" w:type="dxa"/>
            <w:tcBorders>
              <w:top w:val="nil"/>
              <w:left w:val="nil"/>
              <w:bottom w:val="single" w:color="auto" w:sz="4" w:space="0"/>
              <w:right w:val="single" w:color="auto" w:sz="4" w:space="0"/>
            </w:tcBorders>
            <w:vAlign w:val="center"/>
          </w:tcPr>
          <w:p w14:paraId="16F2C5F7">
            <w:pPr>
              <w:spacing w:line="280" w:lineRule="exact"/>
              <w:jc w:val="center"/>
              <w:rPr>
                <w:rFonts w:ascii="宋体" w:hAnsi="宋体"/>
                <w:kern w:val="0"/>
                <w:szCs w:val="21"/>
              </w:rPr>
            </w:pPr>
            <w:r>
              <w:rPr>
                <w:rFonts w:ascii="宋体" w:hAnsi="宋体"/>
                <w:kern w:val="0"/>
                <w:szCs w:val="21"/>
              </w:rPr>
              <w:t>农贸市场分布与交通状况</w:t>
            </w:r>
          </w:p>
        </w:tc>
        <w:tc>
          <w:tcPr>
            <w:tcW w:w="1638" w:type="dxa"/>
            <w:vMerge w:val="continue"/>
            <w:tcBorders>
              <w:top w:val="nil"/>
              <w:left w:val="single" w:color="auto" w:sz="4" w:space="0"/>
              <w:bottom w:val="single" w:color="auto" w:sz="4" w:space="0"/>
              <w:right w:val="single" w:color="auto" w:sz="4" w:space="0"/>
            </w:tcBorders>
            <w:vAlign w:val="center"/>
          </w:tcPr>
          <w:p w14:paraId="6603E90B">
            <w:pPr>
              <w:spacing w:line="280" w:lineRule="exact"/>
              <w:rPr>
                <w:rFonts w:ascii="宋体" w:hAnsi="宋体"/>
                <w:kern w:val="0"/>
                <w:szCs w:val="21"/>
              </w:rPr>
            </w:pPr>
          </w:p>
        </w:tc>
      </w:tr>
    </w:tbl>
    <w:p w14:paraId="40EB43BE">
      <w:pPr>
        <w:pStyle w:val="180"/>
        <w:ind w:firstLine="480"/>
      </w:pPr>
      <w:r>
        <w:rPr>
          <w:rFonts w:hint="eastAsia"/>
        </w:rPr>
        <w:t>（2）</w:t>
      </w:r>
      <w:r>
        <w:t>资料调查方法</w:t>
      </w:r>
    </w:p>
    <w:p w14:paraId="21E2E8A1">
      <w:pPr>
        <w:spacing w:line="500" w:lineRule="exact"/>
        <w:ind w:firstLine="480" w:firstLineChars="200"/>
        <w:rPr>
          <w:sz w:val="24"/>
        </w:rPr>
      </w:pPr>
      <w:r>
        <w:rPr>
          <w:rFonts w:hint="eastAsia"/>
          <w:sz w:val="24"/>
        </w:rPr>
        <w:t>1）</w:t>
      </w:r>
      <w:r>
        <w:rPr>
          <w:sz w:val="24"/>
        </w:rPr>
        <w:t>部门资料收集与实地调查</w:t>
      </w:r>
    </w:p>
    <w:p w14:paraId="2B6DF337">
      <w:pPr>
        <w:spacing w:line="500" w:lineRule="exact"/>
        <w:ind w:firstLine="480" w:firstLineChars="200"/>
        <w:rPr>
          <w:sz w:val="24"/>
        </w:rPr>
      </w:pPr>
      <w:r>
        <w:rPr>
          <w:sz w:val="24"/>
        </w:rPr>
        <w:t>部门资料收集：在鄂州市</w:t>
      </w:r>
      <w:r>
        <w:rPr>
          <w:rFonts w:hint="eastAsia"/>
          <w:sz w:val="24"/>
        </w:rPr>
        <w:t>自然资源和规划局</w:t>
      </w:r>
      <w:r>
        <w:rPr>
          <w:sz w:val="24"/>
        </w:rPr>
        <w:t>相关人员的配合和有关部门的大力支持下，先后到鄂州市</w:t>
      </w:r>
      <w:r>
        <w:rPr>
          <w:rFonts w:hint="eastAsia"/>
          <w:sz w:val="24"/>
        </w:rPr>
        <w:t>自然资源和规划局</w:t>
      </w:r>
      <w:r>
        <w:rPr>
          <w:sz w:val="24"/>
        </w:rPr>
        <w:t>、交通局、农业局、水务局等部门收集相关资料，具体包括鄂州市社会经济发展基本状况、</w:t>
      </w:r>
      <w:r>
        <w:rPr>
          <w:rFonts w:hint="eastAsia"/>
          <w:sz w:val="24"/>
        </w:rPr>
        <w:t>耕地质量报告、土地利用</w:t>
      </w:r>
      <w:r>
        <w:rPr>
          <w:sz w:val="24"/>
        </w:rPr>
        <w:t>总体规划等相关资料，访谈了解区域发展特点与区域内差异情况。重点向</w:t>
      </w:r>
      <w:r>
        <w:rPr>
          <w:rFonts w:hint="eastAsia"/>
          <w:sz w:val="24"/>
        </w:rPr>
        <w:t>自然资源和规划局</w:t>
      </w:r>
      <w:r>
        <w:rPr>
          <w:sz w:val="24"/>
        </w:rPr>
        <w:t>等部门等获取近三年的土地交易、土地流转等资料。</w:t>
      </w:r>
    </w:p>
    <w:p w14:paraId="4A3D0C9B">
      <w:pPr>
        <w:spacing w:line="500" w:lineRule="exact"/>
        <w:ind w:firstLine="480" w:firstLineChars="200"/>
        <w:rPr>
          <w:sz w:val="24"/>
        </w:rPr>
      </w:pPr>
      <w:r>
        <w:rPr>
          <w:sz w:val="24"/>
        </w:rPr>
        <w:t>实地调查：结合土地利用现状图实地调查鄂州市国有农用地分布及利用现状。同时，采用GIS空间分析和遥感影像判读相结合的方法。具体包括：</w:t>
      </w:r>
    </w:p>
    <w:p w14:paraId="3C800DBA">
      <w:pPr>
        <w:spacing w:line="500" w:lineRule="exact"/>
        <w:ind w:firstLine="480" w:firstLineChars="200"/>
        <w:rPr>
          <w:sz w:val="24"/>
        </w:rPr>
      </w:pPr>
      <w:r>
        <w:rPr>
          <w:rFonts w:hint="eastAsia" w:ascii="宋体" w:hAnsi="宋体" w:cs="宋体"/>
          <w:sz w:val="24"/>
          <w:lang w:eastAsia="ja-JP"/>
        </w:rPr>
        <w:t>①</w:t>
      </w:r>
      <w:r>
        <w:rPr>
          <w:sz w:val="24"/>
        </w:rPr>
        <w:t>实地踏勘了解概况。沿调查区域了解掌握土地利用现状、农业配套设施、交通区位状况、</w:t>
      </w:r>
      <w:r>
        <w:rPr>
          <w:rFonts w:ascii="宋体" w:hAnsi="宋体"/>
          <w:sz w:val="24"/>
        </w:rPr>
        <w:t>国有农用地</w:t>
      </w:r>
      <w:r>
        <w:rPr>
          <w:sz w:val="24"/>
        </w:rPr>
        <w:t>周边环境等基本情况。</w:t>
      </w:r>
    </w:p>
    <w:p w14:paraId="155370FB">
      <w:pPr>
        <w:spacing w:line="500" w:lineRule="exact"/>
        <w:ind w:firstLine="480" w:firstLineChars="200"/>
        <w:rPr>
          <w:sz w:val="24"/>
        </w:rPr>
      </w:pPr>
      <w:r>
        <w:rPr>
          <w:rFonts w:hint="eastAsia" w:ascii="宋体" w:hAnsi="宋体" w:cs="宋体"/>
          <w:sz w:val="24"/>
          <w:lang w:eastAsia="ja-JP"/>
        </w:rPr>
        <w:t>②</w:t>
      </w:r>
      <w:r>
        <w:rPr>
          <w:sz w:val="24"/>
        </w:rPr>
        <w:t>抽调查收集样点详细信息。根据国有农用地分布及土地市场状况，抽样调查</w:t>
      </w:r>
      <w:r>
        <w:rPr>
          <w:rFonts w:ascii="宋体" w:hAnsi="宋体"/>
          <w:sz w:val="24"/>
        </w:rPr>
        <w:t>国有农用地</w:t>
      </w:r>
      <w:r>
        <w:rPr>
          <w:sz w:val="24"/>
        </w:rPr>
        <w:t>交易、流转等样点信息；</w:t>
      </w:r>
      <w:r>
        <w:rPr>
          <w:rFonts w:ascii="宋体" w:hAnsi="宋体"/>
          <w:sz w:val="24"/>
        </w:rPr>
        <w:t>国有农用地</w:t>
      </w:r>
      <w:r>
        <w:rPr>
          <w:sz w:val="24"/>
        </w:rPr>
        <w:t>周边不同等级道路及农贸市场分布状况等。抽样调查一般以土地等级为基本单位，满足样点具有代表性、分布均匀等要求，并记录采集信息。</w:t>
      </w:r>
    </w:p>
    <w:p w14:paraId="743E46F6">
      <w:pPr>
        <w:spacing w:line="500" w:lineRule="exact"/>
        <w:ind w:firstLine="480" w:firstLineChars="200"/>
        <w:rPr>
          <w:sz w:val="24"/>
        </w:rPr>
      </w:pPr>
      <w:r>
        <w:rPr>
          <w:sz w:val="24"/>
        </w:rPr>
        <w:t>为全面掌握鄂州市国有农用地价格现状，在数据收集上针对影响地价的区域环境要素进行总体状况调查。综合考虑评价范围内作物、耕作方式等差异，实地调查国有农用地的投入、产出、用地效益等资料。</w:t>
      </w:r>
    </w:p>
    <w:p w14:paraId="42FF2B73">
      <w:pPr>
        <w:spacing w:line="500" w:lineRule="exact"/>
        <w:ind w:firstLine="480" w:firstLineChars="200"/>
        <w:rPr>
          <w:sz w:val="24"/>
        </w:rPr>
      </w:pPr>
      <w:r>
        <w:rPr>
          <w:sz w:val="24"/>
        </w:rPr>
        <w:t>2）网络途径查找资料</w:t>
      </w:r>
    </w:p>
    <w:p w14:paraId="05D368CB">
      <w:pPr>
        <w:spacing w:line="500" w:lineRule="exact"/>
        <w:ind w:firstLine="480" w:firstLineChars="200"/>
        <w:rPr>
          <w:sz w:val="24"/>
        </w:rPr>
      </w:pPr>
      <w:r>
        <w:rPr>
          <w:sz w:val="24"/>
        </w:rPr>
        <w:t>充分利用网络手段，在鄂州市</w:t>
      </w:r>
      <w:r>
        <w:rPr>
          <w:rFonts w:hint="eastAsia"/>
          <w:sz w:val="24"/>
        </w:rPr>
        <w:t>自然资源和规划局</w:t>
      </w:r>
      <w:r>
        <w:rPr>
          <w:sz w:val="24"/>
        </w:rPr>
        <w:t>等网站搜集土地承包经营权流转等案例及相关信息。通过信息筛选，整理样点信息。</w:t>
      </w:r>
    </w:p>
    <w:p w14:paraId="672AE469">
      <w:pPr>
        <w:pStyle w:val="4"/>
        <w:widowControl w:val="0"/>
        <w:tabs>
          <w:tab w:val="left" w:pos="720"/>
        </w:tabs>
        <w:spacing w:before="120" w:after="120" w:line="500" w:lineRule="exact"/>
        <w:ind w:left="826" w:hanging="826"/>
        <w:jc w:val="both"/>
        <w:rPr>
          <w:rFonts w:ascii="宋体" w:hAnsi="宋体"/>
          <w:sz w:val="24"/>
          <w:szCs w:val="24"/>
        </w:rPr>
      </w:pPr>
      <w:bookmarkStart w:id="74" w:name="_Toc47384596"/>
      <w:bookmarkStart w:id="75" w:name="_Toc534833328"/>
      <w:bookmarkStart w:id="76" w:name="_Toc535399905"/>
      <w:bookmarkStart w:id="77" w:name="_Toc532725090"/>
      <w:r>
        <w:rPr>
          <w:rFonts w:hint="eastAsia" w:ascii="宋体" w:hAnsi="宋体"/>
          <w:sz w:val="24"/>
          <w:szCs w:val="24"/>
        </w:rPr>
        <w:t>2</w:t>
      </w:r>
      <w:r>
        <w:rPr>
          <w:rFonts w:ascii="宋体" w:hAnsi="宋体"/>
          <w:sz w:val="24"/>
          <w:szCs w:val="24"/>
        </w:rPr>
        <w:t>.3.3 资料的分类整理</w:t>
      </w:r>
      <w:bookmarkEnd w:id="74"/>
      <w:bookmarkEnd w:id="75"/>
      <w:bookmarkEnd w:id="76"/>
      <w:bookmarkEnd w:id="77"/>
    </w:p>
    <w:p w14:paraId="5078B222">
      <w:pPr>
        <w:pStyle w:val="180"/>
        <w:ind w:firstLine="480"/>
      </w:pPr>
      <w:r>
        <w:rPr>
          <w:rFonts w:hint="eastAsia"/>
        </w:rPr>
        <w:t>（1）</w:t>
      </w:r>
      <w:r>
        <w:t>文本资料</w:t>
      </w:r>
    </w:p>
    <w:p w14:paraId="6341D586">
      <w:pPr>
        <w:spacing w:line="500" w:lineRule="exact"/>
        <w:ind w:firstLine="480" w:firstLineChars="200"/>
        <w:rPr>
          <w:sz w:val="24"/>
        </w:rPr>
      </w:pPr>
      <w:r>
        <w:rPr>
          <w:rFonts w:hint="eastAsia" w:ascii="宋体" w:hAnsi="宋体"/>
          <w:sz w:val="24"/>
        </w:rPr>
        <w:t>①</w:t>
      </w:r>
      <w:r>
        <w:rPr>
          <w:sz w:val="24"/>
        </w:rPr>
        <w:t>鄂州市2015-2016年耕地质量等级评价技术报告；</w:t>
      </w:r>
    </w:p>
    <w:p w14:paraId="00EC75BE">
      <w:pPr>
        <w:spacing w:line="500" w:lineRule="exact"/>
        <w:ind w:firstLine="480" w:firstLineChars="200"/>
        <w:rPr>
          <w:sz w:val="24"/>
        </w:rPr>
      </w:pPr>
      <w:r>
        <w:rPr>
          <w:rFonts w:hint="eastAsia" w:ascii="宋体" w:hAnsi="宋体"/>
          <w:sz w:val="24"/>
        </w:rPr>
        <w:t>②</w:t>
      </w:r>
      <w:r>
        <w:rPr>
          <w:sz w:val="24"/>
        </w:rPr>
        <w:t>鄂州市综合交通运输规划十三五报告；</w:t>
      </w:r>
    </w:p>
    <w:p w14:paraId="129FD0E7">
      <w:pPr>
        <w:spacing w:line="500" w:lineRule="exact"/>
        <w:ind w:firstLine="480" w:firstLineChars="200"/>
        <w:rPr>
          <w:sz w:val="24"/>
        </w:rPr>
      </w:pPr>
      <w:r>
        <w:rPr>
          <w:rFonts w:hint="eastAsia" w:ascii="宋体" w:hAnsi="宋体"/>
          <w:sz w:val="24"/>
        </w:rPr>
        <w:t>③</w:t>
      </w:r>
      <w:r>
        <w:rPr>
          <w:sz w:val="24"/>
        </w:rPr>
        <w:t>鄂州市耕地质量等级及变动表（2015-2016年）；</w:t>
      </w:r>
    </w:p>
    <w:p w14:paraId="66163E73">
      <w:pPr>
        <w:spacing w:line="500" w:lineRule="exact"/>
        <w:ind w:firstLine="480" w:firstLineChars="200"/>
        <w:rPr>
          <w:sz w:val="24"/>
        </w:rPr>
      </w:pPr>
      <w:r>
        <w:rPr>
          <w:rFonts w:hint="eastAsia" w:ascii="宋体" w:hAnsi="宋体"/>
          <w:sz w:val="24"/>
        </w:rPr>
        <w:t>④</w:t>
      </w:r>
      <w:r>
        <w:rPr>
          <w:sz w:val="24"/>
        </w:rPr>
        <w:t>鄂州</w:t>
      </w:r>
      <w:r>
        <w:rPr>
          <w:rFonts w:hint="eastAsia"/>
          <w:sz w:val="24"/>
        </w:rPr>
        <w:t>市</w:t>
      </w:r>
      <w:r>
        <w:rPr>
          <w:rFonts w:ascii="宋体" w:hAnsi="宋体"/>
          <w:sz w:val="24"/>
        </w:rPr>
        <w:t>国有农用地</w:t>
      </w:r>
      <w:r>
        <w:rPr>
          <w:sz w:val="24"/>
        </w:rPr>
        <w:t>流转资料。</w:t>
      </w:r>
    </w:p>
    <w:p w14:paraId="74C1436C">
      <w:pPr>
        <w:pStyle w:val="180"/>
        <w:ind w:firstLine="480"/>
      </w:pPr>
      <w:r>
        <w:rPr>
          <w:rFonts w:hint="eastAsia"/>
        </w:rPr>
        <w:t>（2）</w:t>
      </w:r>
      <w:r>
        <w:t>图件资料</w:t>
      </w:r>
    </w:p>
    <w:p w14:paraId="2C10E5D3">
      <w:pPr>
        <w:spacing w:line="500" w:lineRule="exact"/>
        <w:ind w:firstLine="480" w:firstLineChars="200"/>
        <w:rPr>
          <w:sz w:val="24"/>
        </w:rPr>
      </w:pPr>
      <w:r>
        <w:rPr>
          <w:rFonts w:hint="eastAsia" w:ascii="宋体" w:hAnsi="宋体"/>
          <w:sz w:val="24"/>
        </w:rPr>
        <w:t>①</w:t>
      </w:r>
      <w:r>
        <w:rPr>
          <w:sz w:val="24"/>
        </w:rPr>
        <w:t>鄂州市2017年度耕地质量等别图；</w:t>
      </w:r>
    </w:p>
    <w:p w14:paraId="392C9CAA">
      <w:pPr>
        <w:spacing w:line="500" w:lineRule="exact"/>
        <w:ind w:firstLine="480" w:firstLineChars="200"/>
        <w:rPr>
          <w:sz w:val="24"/>
        </w:rPr>
      </w:pPr>
      <w:r>
        <w:rPr>
          <w:rFonts w:hint="eastAsia" w:ascii="宋体" w:hAnsi="宋体"/>
          <w:sz w:val="24"/>
        </w:rPr>
        <w:t>②</w:t>
      </w:r>
      <w:r>
        <w:rPr>
          <w:sz w:val="24"/>
        </w:rPr>
        <w:t>鄂州市公路图（2017年）；</w:t>
      </w:r>
    </w:p>
    <w:p w14:paraId="44947417">
      <w:pPr>
        <w:spacing w:line="500" w:lineRule="exact"/>
        <w:ind w:firstLine="480" w:firstLineChars="200"/>
        <w:rPr>
          <w:sz w:val="24"/>
        </w:rPr>
      </w:pPr>
      <w:r>
        <w:rPr>
          <w:rFonts w:hint="eastAsia" w:ascii="宋体" w:hAnsi="宋体"/>
          <w:sz w:val="24"/>
        </w:rPr>
        <w:t>③</w:t>
      </w:r>
      <w:r>
        <w:rPr>
          <w:sz w:val="24"/>
        </w:rPr>
        <w:t>鄂州市DEM数据；</w:t>
      </w:r>
    </w:p>
    <w:p w14:paraId="77F50AF1">
      <w:pPr>
        <w:spacing w:line="500" w:lineRule="exact"/>
        <w:ind w:firstLine="480" w:firstLineChars="200"/>
        <w:rPr>
          <w:sz w:val="24"/>
        </w:rPr>
      </w:pPr>
      <w:r>
        <w:rPr>
          <w:rFonts w:hint="eastAsia" w:ascii="宋体" w:hAnsi="宋体"/>
          <w:sz w:val="24"/>
        </w:rPr>
        <w:t>④</w:t>
      </w:r>
      <w:r>
        <w:rPr>
          <w:sz w:val="24"/>
        </w:rPr>
        <w:t>鄂州市NDVI植被覆盖数据；</w:t>
      </w:r>
    </w:p>
    <w:p w14:paraId="0556AA24">
      <w:pPr>
        <w:spacing w:line="500" w:lineRule="exact"/>
        <w:ind w:firstLine="480" w:firstLineChars="200"/>
        <w:rPr>
          <w:sz w:val="24"/>
        </w:rPr>
      </w:pPr>
      <w:r>
        <w:rPr>
          <w:rFonts w:hint="eastAsia" w:ascii="宋体" w:hAnsi="宋体"/>
          <w:sz w:val="24"/>
        </w:rPr>
        <w:t>⑤</w:t>
      </w:r>
      <w:r>
        <w:rPr>
          <w:sz w:val="24"/>
        </w:rPr>
        <w:t>鄂州市卫星遥感影像图；</w:t>
      </w:r>
    </w:p>
    <w:p w14:paraId="09D5E3D1">
      <w:pPr>
        <w:spacing w:line="500" w:lineRule="exact"/>
        <w:ind w:firstLine="480" w:firstLineChars="200"/>
        <w:rPr>
          <w:sz w:val="24"/>
        </w:rPr>
      </w:pPr>
      <w:r>
        <w:rPr>
          <w:rFonts w:hint="eastAsia"/>
          <w:sz w:val="24"/>
        </w:rPr>
        <w:t>⑥</w:t>
      </w:r>
      <w:r>
        <w:rPr>
          <w:sz w:val="24"/>
        </w:rPr>
        <w:t>鄂州市地质灾害易发程度分区图。</w:t>
      </w:r>
    </w:p>
    <w:p w14:paraId="39A22B84">
      <w:pPr>
        <w:spacing w:line="500" w:lineRule="exact"/>
        <w:ind w:firstLine="480" w:firstLineChars="200"/>
        <w:rPr>
          <w:sz w:val="24"/>
        </w:rPr>
      </w:pPr>
      <w:r>
        <w:rPr>
          <w:sz w:val="24"/>
        </w:rPr>
        <w:t>具体收集到的部门资料如下表所示：</w:t>
      </w:r>
    </w:p>
    <w:p w14:paraId="28B5BBE3">
      <w:pPr>
        <w:spacing w:before="156" w:beforeLines="50" w:after="156" w:afterLines="50"/>
        <w:ind w:firstLine="420"/>
        <w:jc w:val="center"/>
        <w:rPr>
          <w:b/>
          <w:szCs w:val="21"/>
        </w:rPr>
      </w:pPr>
      <w:r>
        <w:rPr>
          <w:b/>
          <w:szCs w:val="21"/>
        </w:rPr>
        <w:t>表2-2已收集的部门资料</w:t>
      </w:r>
    </w:p>
    <w:tbl>
      <w:tblPr>
        <w:tblStyle w:val="3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3686"/>
        <w:gridCol w:w="1134"/>
      </w:tblGrid>
      <w:tr w14:paraId="3051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652" w:type="dxa"/>
            <w:vAlign w:val="center"/>
          </w:tcPr>
          <w:p w14:paraId="2FAA969C">
            <w:pPr>
              <w:jc w:val="center"/>
              <w:rPr>
                <w:b/>
                <w:bCs/>
                <w:kern w:val="0"/>
                <w:szCs w:val="21"/>
              </w:rPr>
            </w:pPr>
            <w:r>
              <w:rPr>
                <w:b/>
                <w:bCs/>
                <w:kern w:val="0"/>
                <w:szCs w:val="21"/>
              </w:rPr>
              <w:t>资料名称</w:t>
            </w:r>
          </w:p>
        </w:tc>
        <w:tc>
          <w:tcPr>
            <w:tcW w:w="3686" w:type="dxa"/>
            <w:vAlign w:val="center"/>
          </w:tcPr>
          <w:p w14:paraId="0E2CE81D">
            <w:pPr>
              <w:jc w:val="center"/>
              <w:rPr>
                <w:b/>
                <w:bCs/>
                <w:kern w:val="0"/>
                <w:szCs w:val="21"/>
              </w:rPr>
            </w:pPr>
            <w:r>
              <w:rPr>
                <w:b/>
                <w:bCs/>
                <w:kern w:val="0"/>
                <w:szCs w:val="21"/>
              </w:rPr>
              <w:t>主要内容</w:t>
            </w:r>
          </w:p>
        </w:tc>
        <w:tc>
          <w:tcPr>
            <w:tcW w:w="1134" w:type="dxa"/>
            <w:vAlign w:val="center"/>
          </w:tcPr>
          <w:p w14:paraId="7A2937EB">
            <w:pPr>
              <w:jc w:val="center"/>
              <w:rPr>
                <w:b/>
                <w:bCs/>
                <w:kern w:val="0"/>
                <w:szCs w:val="21"/>
              </w:rPr>
            </w:pPr>
            <w:r>
              <w:rPr>
                <w:b/>
                <w:bCs/>
                <w:kern w:val="0"/>
                <w:szCs w:val="21"/>
              </w:rPr>
              <w:t>职能部门</w:t>
            </w:r>
          </w:p>
        </w:tc>
      </w:tr>
      <w:tr w14:paraId="5776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652" w:type="dxa"/>
            <w:vAlign w:val="center"/>
          </w:tcPr>
          <w:p w14:paraId="1F62076A">
            <w:pPr>
              <w:jc w:val="center"/>
              <w:rPr>
                <w:kern w:val="0"/>
                <w:szCs w:val="21"/>
              </w:rPr>
            </w:pPr>
            <w:r>
              <w:rPr>
                <w:kern w:val="0"/>
                <w:szCs w:val="21"/>
              </w:rPr>
              <w:t>土地利用现状图、土地利用规划图</w:t>
            </w:r>
          </w:p>
        </w:tc>
        <w:tc>
          <w:tcPr>
            <w:tcW w:w="3686" w:type="dxa"/>
            <w:vAlign w:val="center"/>
          </w:tcPr>
          <w:p w14:paraId="34C44763">
            <w:pPr>
              <w:jc w:val="center"/>
              <w:rPr>
                <w:kern w:val="0"/>
                <w:szCs w:val="21"/>
              </w:rPr>
            </w:pPr>
            <w:r>
              <w:rPr>
                <w:kern w:val="0"/>
                <w:szCs w:val="21"/>
              </w:rPr>
              <w:t>各（建制镇、街道、乡）土地利用面积统计资料</w:t>
            </w:r>
          </w:p>
        </w:tc>
        <w:tc>
          <w:tcPr>
            <w:tcW w:w="1134" w:type="dxa"/>
            <w:vMerge w:val="restart"/>
            <w:vAlign w:val="center"/>
          </w:tcPr>
          <w:p w14:paraId="36D70647">
            <w:pPr>
              <w:rPr>
                <w:kern w:val="0"/>
                <w:szCs w:val="21"/>
              </w:rPr>
            </w:pPr>
            <w:r>
              <w:rPr>
                <w:rFonts w:hint="eastAsia"/>
                <w:kern w:val="0"/>
                <w:szCs w:val="21"/>
              </w:rPr>
              <w:t>自然资源和规划局</w:t>
            </w:r>
          </w:p>
        </w:tc>
      </w:tr>
      <w:tr w14:paraId="35C2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652" w:type="dxa"/>
            <w:vAlign w:val="center"/>
          </w:tcPr>
          <w:p w14:paraId="7C84DCDD">
            <w:pPr>
              <w:jc w:val="center"/>
              <w:rPr>
                <w:kern w:val="0"/>
                <w:szCs w:val="21"/>
              </w:rPr>
            </w:pPr>
            <w:r>
              <w:rPr>
                <w:kern w:val="0"/>
                <w:szCs w:val="21"/>
              </w:rPr>
              <w:t>近3</w:t>
            </w:r>
            <w:r>
              <w:rPr>
                <w:rFonts w:hint="eastAsia"/>
                <w:kern w:val="0"/>
                <w:szCs w:val="21"/>
              </w:rPr>
              <w:t>年</w:t>
            </w:r>
            <w:r>
              <w:rPr>
                <w:rFonts w:ascii="宋体" w:hAnsi="宋体"/>
                <w:szCs w:val="21"/>
              </w:rPr>
              <w:t>国有农用地</w:t>
            </w:r>
            <w:r>
              <w:rPr>
                <w:kern w:val="0"/>
                <w:szCs w:val="21"/>
              </w:rPr>
              <w:t>流转情况</w:t>
            </w:r>
          </w:p>
        </w:tc>
        <w:tc>
          <w:tcPr>
            <w:tcW w:w="3686" w:type="dxa"/>
            <w:vAlign w:val="center"/>
          </w:tcPr>
          <w:p w14:paraId="1471528E">
            <w:pPr>
              <w:jc w:val="center"/>
              <w:rPr>
                <w:kern w:val="0"/>
                <w:szCs w:val="21"/>
              </w:rPr>
            </w:pPr>
            <w:r>
              <w:rPr>
                <w:kern w:val="0"/>
                <w:szCs w:val="21"/>
              </w:rPr>
              <w:t>土地流转的时间、价格、面积、年限等</w:t>
            </w:r>
          </w:p>
        </w:tc>
        <w:tc>
          <w:tcPr>
            <w:tcW w:w="1134" w:type="dxa"/>
            <w:vMerge w:val="continue"/>
            <w:vAlign w:val="center"/>
          </w:tcPr>
          <w:p w14:paraId="3191EE91">
            <w:pPr>
              <w:rPr>
                <w:kern w:val="0"/>
                <w:szCs w:val="21"/>
              </w:rPr>
            </w:pPr>
          </w:p>
        </w:tc>
      </w:tr>
      <w:tr w14:paraId="4DCC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652" w:type="dxa"/>
            <w:vAlign w:val="center"/>
          </w:tcPr>
          <w:p w14:paraId="547E063E">
            <w:pPr>
              <w:jc w:val="center"/>
              <w:rPr>
                <w:kern w:val="0"/>
                <w:szCs w:val="21"/>
              </w:rPr>
            </w:pPr>
            <w:r>
              <w:rPr>
                <w:kern w:val="0"/>
                <w:szCs w:val="21"/>
              </w:rPr>
              <w:t>基础设施资料</w:t>
            </w:r>
          </w:p>
        </w:tc>
        <w:tc>
          <w:tcPr>
            <w:tcW w:w="3686" w:type="dxa"/>
            <w:vAlign w:val="center"/>
          </w:tcPr>
          <w:p w14:paraId="5795D647">
            <w:pPr>
              <w:jc w:val="center"/>
              <w:rPr>
                <w:kern w:val="0"/>
                <w:szCs w:val="21"/>
              </w:rPr>
            </w:pPr>
            <w:r>
              <w:rPr>
                <w:kern w:val="0"/>
                <w:szCs w:val="21"/>
              </w:rPr>
              <w:t>电力、供水、排水、供热、等基础设施的类型、数量、分布、技术水平规模、级别、保证率及区域服务的优劣</w:t>
            </w:r>
          </w:p>
        </w:tc>
        <w:tc>
          <w:tcPr>
            <w:tcW w:w="1134" w:type="dxa"/>
            <w:vMerge w:val="restart"/>
            <w:vAlign w:val="center"/>
          </w:tcPr>
          <w:p w14:paraId="7CFADCAF">
            <w:pPr>
              <w:rPr>
                <w:kern w:val="0"/>
                <w:szCs w:val="21"/>
              </w:rPr>
            </w:pPr>
            <w:r>
              <w:rPr>
                <w:kern w:val="0"/>
                <w:szCs w:val="21"/>
              </w:rPr>
              <w:t>城乡建设委员会</w:t>
            </w:r>
          </w:p>
        </w:tc>
      </w:tr>
      <w:tr w14:paraId="4A55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52" w:type="dxa"/>
            <w:vAlign w:val="center"/>
          </w:tcPr>
          <w:p w14:paraId="7819ECD8">
            <w:pPr>
              <w:jc w:val="center"/>
              <w:rPr>
                <w:kern w:val="0"/>
                <w:szCs w:val="21"/>
              </w:rPr>
            </w:pPr>
            <w:r>
              <w:rPr>
                <w:kern w:val="0"/>
                <w:szCs w:val="21"/>
              </w:rPr>
              <w:t>道路网络图</w:t>
            </w:r>
          </w:p>
        </w:tc>
        <w:tc>
          <w:tcPr>
            <w:tcW w:w="3686" w:type="dxa"/>
            <w:vAlign w:val="center"/>
          </w:tcPr>
          <w:p w14:paraId="489CEBAD">
            <w:pPr>
              <w:jc w:val="center"/>
              <w:rPr>
                <w:kern w:val="0"/>
                <w:szCs w:val="21"/>
              </w:rPr>
            </w:pPr>
            <w:r>
              <w:rPr>
                <w:kern w:val="0"/>
                <w:szCs w:val="21"/>
              </w:rPr>
              <w:t>全市及主城区道路网分布、道路名称、级别、类型、车流量、道路宽度、长度等数据</w:t>
            </w:r>
          </w:p>
        </w:tc>
        <w:tc>
          <w:tcPr>
            <w:tcW w:w="1134" w:type="dxa"/>
            <w:vMerge w:val="continue"/>
            <w:vAlign w:val="center"/>
          </w:tcPr>
          <w:p w14:paraId="1D3AC0E2">
            <w:pPr>
              <w:rPr>
                <w:kern w:val="0"/>
                <w:szCs w:val="21"/>
              </w:rPr>
            </w:pPr>
          </w:p>
        </w:tc>
      </w:tr>
      <w:tr w14:paraId="10D2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652" w:type="dxa"/>
            <w:vAlign w:val="center"/>
          </w:tcPr>
          <w:p w14:paraId="3DDE4931">
            <w:pPr>
              <w:jc w:val="center"/>
              <w:rPr>
                <w:kern w:val="0"/>
                <w:szCs w:val="21"/>
              </w:rPr>
            </w:pPr>
            <w:r>
              <w:rPr>
                <w:kern w:val="0"/>
                <w:szCs w:val="21"/>
              </w:rPr>
              <w:t>社会平均物价上涨指数、2017年物价上涨指数</w:t>
            </w:r>
          </w:p>
        </w:tc>
        <w:tc>
          <w:tcPr>
            <w:tcW w:w="3686" w:type="dxa"/>
            <w:vAlign w:val="center"/>
          </w:tcPr>
          <w:p w14:paraId="5B89697B">
            <w:pPr>
              <w:jc w:val="center"/>
              <w:rPr>
                <w:kern w:val="0"/>
                <w:szCs w:val="21"/>
              </w:rPr>
            </w:pPr>
            <w:r>
              <w:rPr>
                <w:kern w:val="0"/>
                <w:szCs w:val="21"/>
              </w:rPr>
              <w:t>-</w:t>
            </w:r>
          </w:p>
        </w:tc>
        <w:tc>
          <w:tcPr>
            <w:tcW w:w="1134" w:type="dxa"/>
            <w:vMerge w:val="restart"/>
            <w:vAlign w:val="center"/>
          </w:tcPr>
          <w:p w14:paraId="24B9CD0A">
            <w:pPr>
              <w:jc w:val="center"/>
              <w:rPr>
                <w:kern w:val="0"/>
                <w:szCs w:val="21"/>
              </w:rPr>
            </w:pPr>
            <w:r>
              <w:rPr>
                <w:kern w:val="0"/>
                <w:szCs w:val="21"/>
              </w:rPr>
              <w:t>物价局</w:t>
            </w:r>
          </w:p>
        </w:tc>
      </w:tr>
      <w:tr w14:paraId="78D4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652" w:type="dxa"/>
            <w:vAlign w:val="center"/>
          </w:tcPr>
          <w:p w14:paraId="293B59E9">
            <w:pPr>
              <w:jc w:val="center"/>
              <w:rPr>
                <w:kern w:val="0"/>
                <w:szCs w:val="21"/>
              </w:rPr>
            </w:pPr>
            <w:r>
              <w:rPr>
                <w:kern w:val="0"/>
                <w:szCs w:val="21"/>
              </w:rPr>
              <w:t>全社会商品零售、居民生活水平物价上涨指数</w:t>
            </w:r>
          </w:p>
        </w:tc>
        <w:tc>
          <w:tcPr>
            <w:tcW w:w="3686" w:type="dxa"/>
            <w:vAlign w:val="center"/>
          </w:tcPr>
          <w:p w14:paraId="190F70B6">
            <w:pPr>
              <w:jc w:val="center"/>
              <w:rPr>
                <w:kern w:val="0"/>
                <w:szCs w:val="21"/>
              </w:rPr>
            </w:pPr>
            <w:r>
              <w:rPr>
                <w:kern w:val="0"/>
                <w:szCs w:val="21"/>
              </w:rPr>
              <w:t>-</w:t>
            </w:r>
          </w:p>
        </w:tc>
        <w:tc>
          <w:tcPr>
            <w:tcW w:w="1134" w:type="dxa"/>
            <w:vMerge w:val="continue"/>
            <w:vAlign w:val="center"/>
          </w:tcPr>
          <w:p w14:paraId="45911F5A">
            <w:pPr>
              <w:rPr>
                <w:kern w:val="0"/>
                <w:szCs w:val="21"/>
              </w:rPr>
            </w:pPr>
          </w:p>
        </w:tc>
      </w:tr>
      <w:tr w14:paraId="4D1F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652" w:type="dxa"/>
            <w:vAlign w:val="center"/>
          </w:tcPr>
          <w:p w14:paraId="3B40F923">
            <w:pPr>
              <w:jc w:val="center"/>
              <w:rPr>
                <w:kern w:val="0"/>
                <w:szCs w:val="21"/>
              </w:rPr>
            </w:pPr>
            <w:r>
              <w:rPr>
                <w:kern w:val="0"/>
                <w:szCs w:val="21"/>
              </w:rPr>
              <w:t>大气污染图、水污染图、噪音污染图</w:t>
            </w:r>
          </w:p>
        </w:tc>
        <w:tc>
          <w:tcPr>
            <w:tcW w:w="3686" w:type="dxa"/>
            <w:vAlign w:val="center"/>
          </w:tcPr>
          <w:p w14:paraId="7013E99E">
            <w:pPr>
              <w:jc w:val="center"/>
              <w:rPr>
                <w:kern w:val="0"/>
                <w:szCs w:val="21"/>
              </w:rPr>
            </w:pPr>
            <w:r>
              <w:rPr>
                <w:kern w:val="0"/>
                <w:szCs w:val="21"/>
              </w:rPr>
              <w:t>污染类型、状况、污染程度、分布</w:t>
            </w:r>
          </w:p>
        </w:tc>
        <w:tc>
          <w:tcPr>
            <w:tcW w:w="1134" w:type="dxa"/>
            <w:vMerge w:val="restart"/>
            <w:vAlign w:val="center"/>
          </w:tcPr>
          <w:p w14:paraId="39C9BDFE">
            <w:pPr>
              <w:jc w:val="center"/>
              <w:rPr>
                <w:kern w:val="0"/>
                <w:szCs w:val="21"/>
              </w:rPr>
            </w:pPr>
            <w:r>
              <w:rPr>
                <w:kern w:val="0"/>
                <w:szCs w:val="21"/>
              </w:rPr>
              <w:t>环境保护局</w:t>
            </w:r>
          </w:p>
        </w:tc>
      </w:tr>
      <w:tr w14:paraId="3D11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652" w:type="dxa"/>
            <w:vAlign w:val="center"/>
          </w:tcPr>
          <w:p w14:paraId="16FB1EDD">
            <w:pPr>
              <w:jc w:val="center"/>
              <w:rPr>
                <w:kern w:val="0"/>
                <w:szCs w:val="21"/>
              </w:rPr>
            </w:pPr>
            <w:r>
              <w:rPr>
                <w:kern w:val="0"/>
                <w:szCs w:val="21"/>
              </w:rPr>
              <w:t>近三年环境监测报告</w:t>
            </w:r>
          </w:p>
        </w:tc>
        <w:tc>
          <w:tcPr>
            <w:tcW w:w="3686" w:type="dxa"/>
            <w:vAlign w:val="center"/>
          </w:tcPr>
          <w:p w14:paraId="35B4F0C9">
            <w:pPr>
              <w:jc w:val="center"/>
              <w:rPr>
                <w:kern w:val="0"/>
                <w:szCs w:val="21"/>
              </w:rPr>
            </w:pPr>
            <w:r>
              <w:rPr>
                <w:kern w:val="0"/>
                <w:szCs w:val="21"/>
              </w:rPr>
              <w:t>-</w:t>
            </w:r>
          </w:p>
        </w:tc>
        <w:tc>
          <w:tcPr>
            <w:tcW w:w="1134" w:type="dxa"/>
            <w:vMerge w:val="continue"/>
            <w:vAlign w:val="center"/>
          </w:tcPr>
          <w:p w14:paraId="5ABC60E1">
            <w:pPr>
              <w:rPr>
                <w:kern w:val="0"/>
                <w:szCs w:val="21"/>
              </w:rPr>
            </w:pPr>
          </w:p>
        </w:tc>
      </w:tr>
      <w:tr w14:paraId="3A70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652" w:type="dxa"/>
            <w:vAlign w:val="center"/>
          </w:tcPr>
          <w:p w14:paraId="67B5E7F7">
            <w:pPr>
              <w:jc w:val="center"/>
              <w:rPr>
                <w:kern w:val="0"/>
                <w:szCs w:val="21"/>
              </w:rPr>
            </w:pPr>
            <w:r>
              <w:rPr>
                <w:kern w:val="0"/>
                <w:szCs w:val="21"/>
              </w:rPr>
              <w:t>交通规划</w:t>
            </w:r>
          </w:p>
        </w:tc>
        <w:tc>
          <w:tcPr>
            <w:tcW w:w="3686" w:type="dxa"/>
            <w:vAlign w:val="center"/>
          </w:tcPr>
          <w:p w14:paraId="2E4BE4BD">
            <w:pPr>
              <w:jc w:val="center"/>
              <w:rPr>
                <w:kern w:val="0"/>
                <w:szCs w:val="21"/>
              </w:rPr>
            </w:pPr>
            <w:r>
              <w:rPr>
                <w:kern w:val="0"/>
                <w:szCs w:val="21"/>
              </w:rPr>
              <w:t>-</w:t>
            </w:r>
          </w:p>
        </w:tc>
        <w:tc>
          <w:tcPr>
            <w:tcW w:w="1134" w:type="dxa"/>
            <w:vAlign w:val="center"/>
          </w:tcPr>
          <w:p w14:paraId="73EA898D">
            <w:pPr>
              <w:jc w:val="center"/>
              <w:rPr>
                <w:kern w:val="0"/>
                <w:szCs w:val="21"/>
              </w:rPr>
            </w:pPr>
            <w:r>
              <w:rPr>
                <w:kern w:val="0"/>
                <w:szCs w:val="21"/>
              </w:rPr>
              <w:t>交通局</w:t>
            </w:r>
          </w:p>
        </w:tc>
      </w:tr>
      <w:tr w14:paraId="336C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52" w:type="dxa"/>
            <w:vAlign w:val="center"/>
          </w:tcPr>
          <w:p w14:paraId="472C49D0">
            <w:pPr>
              <w:jc w:val="center"/>
              <w:rPr>
                <w:kern w:val="0"/>
                <w:szCs w:val="21"/>
              </w:rPr>
            </w:pPr>
            <w:r>
              <w:rPr>
                <w:kern w:val="0"/>
                <w:szCs w:val="21"/>
              </w:rPr>
              <w:t>2013-2017《鄂州统计年鉴》</w:t>
            </w:r>
          </w:p>
        </w:tc>
        <w:tc>
          <w:tcPr>
            <w:tcW w:w="3686" w:type="dxa"/>
            <w:vAlign w:val="center"/>
          </w:tcPr>
          <w:p w14:paraId="3E761FB3">
            <w:pPr>
              <w:jc w:val="center"/>
              <w:rPr>
                <w:kern w:val="0"/>
                <w:szCs w:val="21"/>
              </w:rPr>
            </w:pPr>
            <w:r>
              <w:rPr>
                <w:kern w:val="0"/>
                <w:szCs w:val="21"/>
              </w:rPr>
              <w:t>-</w:t>
            </w:r>
          </w:p>
        </w:tc>
        <w:tc>
          <w:tcPr>
            <w:tcW w:w="1134" w:type="dxa"/>
            <w:vMerge w:val="restart"/>
            <w:vAlign w:val="center"/>
          </w:tcPr>
          <w:p w14:paraId="23309C9A">
            <w:pPr>
              <w:jc w:val="center"/>
              <w:rPr>
                <w:kern w:val="0"/>
                <w:szCs w:val="21"/>
              </w:rPr>
            </w:pPr>
            <w:r>
              <w:rPr>
                <w:kern w:val="0"/>
                <w:szCs w:val="21"/>
              </w:rPr>
              <w:t>统计局</w:t>
            </w:r>
          </w:p>
        </w:tc>
      </w:tr>
      <w:tr w14:paraId="09D1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652" w:type="dxa"/>
            <w:vAlign w:val="center"/>
          </w:tcPr>
          <w:p w14:paraId="26D68CD5">
            <w:pPr>
              <w:jc w:val="center"/>
              <w:rPr>
                <w:kern w:val="0"/>
                <w:szCs w:val="21"/>
              </w:rPr>
            </w:pPr>
            <w:r>
              <w:rPr>
                <w:kern w:val="0"/>
                <w:szCs w:val="21"/>
              </w:rPr>
              <w:t>2017《鄂州年鉴》</w:t>
            </w:r>
          </w:p>
        </w:tc>
        <w:tc>
          <w:tcPr>
            <w:tcW w:w="3686" w:type="dxa"/>
            <w:vAlign w:val="center"/>
          </w:tcPr>
          <w:p w14:paraId="34BB5AA9">
            <w:pPr>
              <w:jc w:val="center"/>
              <w:rPr>
                <w:kern w:val="0"/>
                <w:szCs w:val="21"/>
              </w:rPr>
            </w:pPr>
            <w:r>
              <w:rPr>
                <w:kern w:val="0"/>
                <w:szCs w:val="21"/>
              </w:rPr>
              <w:t>-</w:t>
            </w:r>
          </w:p>
        </w:tc>
        <w:tc>
          <w:tcPr>
            <w:tcW w:w="1134" w:type="dxa"/>
            <w:vMerge w:val="continue"/>
            <w:vAlign w:val="center"/>
          </w:tcPr>
          <w:p w14:paraId="71C850C6">
            <w:pPr>
              <w:rPr>
                <w:kern w:val="0"/>
                <w:szCs w:val="21"/>
              </w:rPr>
            </w:pPr>
          </w:p>
        </w:tc>
      </w:tr>
    </w:tbl>
    <w:p w14:paraId="4877F6E7">
      <w:pPr>
        <w:pStyle w:val="4"/>
        <w:widowControl w:val="0"/>
        <w:tabs>
          <w:tab w:val="left" w:pos="720"/>
        </w:tabs>
        <w:spacing w:before="120" w:after="120" w:line="500" w:lineRule="exact"/>
        <w:ind w:left="826" w:hanging="826"/>
        <w:jc w:val="both"/>
        <w:rPr>
          <w:rFonts w:ascii="宋体" w:hAnsi="宋体"/>
          <w:sz w:val="24"/>
          <w:szCs w:val="24"/>
        </w:rPr>
      </w:pPr>
      <w:bookmarkStart w:id="78" w:name="_Toc23044_WPSOffice_Level3"/>
      <w:bookmarkStart w:id="79" w:name="_Toc534833329"/>
      <w:bookmarkStart w:id="80" w:name="_Toc47384597"/>
      <w:bookmarkStart w:id="81" w:name="_Toc535399906"/>
      <w:bookmarkStart w:id="82" w:name="_Toc532725091"/>
      <w:r>
        <w:rPr>
          <w:rFonts w:hint="eastAsia" w:ascii="宋体" w:hAnsi="宋体"/>
          <w:sz w:val="24"/>
          <w:szCs w:val="24"/>
        </w:rPr>
        <w:t>2</w:t>
      </w:r>
      <w:r>
        <w:rPr>
          <w:rFonts w:ascii="宋体" w:hAnsi="宋体"/>
          <w:sz w:val="24"/>
          <w:szCs w:val="24"/>
        </w:rPr>
        <w:t>.3.4 外业调查及成果整理</w:t>
      </w:r>
      <w:bookmarkEnd w:id="78"/>
      <w:bookmarkEnd w:id="79"/>
      <w:bookmarkEnd w:id="80"/>
      <w:bookmarkEnd w:id="81"/>
      <w:bookmarkEnd w:id="82"/>
    </w:p>
    <w:p w14:paraId="38ACA0B2">
      <w:pPr>
        <w:pStyle w:val="180"/>
        <w:ind w:firstLine="480"/>
      </w:pPr>
      <w:r>
        <w:rPr>
          <w:rFonts w:hint="eastAsia"/>
        </w:rPr>
        <w:t>（1）</w:t>
      </w:r>
      <w:r>
        <w:t>调查目的</w:t>
      </w:r>
    </w:p>
    <w:p w14:paraId="77AD94E4">
      <w:pPr>
        <w:spacing w:line="500" w:lineRule="exact"/>
        <w:ind w:firstLine="482"/>
        <w:rPr>
          <w:sz w:val="24"/>
          <w:lang w:val="zh-CN"/>
        </w:rPr>
      </w:pPr>
      <w:r>
        <w:rPr>
          <w:sz w:val="24"/>
          <w:lang w:val="zh-CN"/>
        </w:rPr>
        <w:t>鄂州市国有农用地定级与基准地价评估工作的系统性强，需要建立在大量资料收集的基础之上，资料包含国土规划、基础设施建设、环境状况等</w:t>
      </w:r>
      <w:r>
        <w:rPr>
          <w:rFonts w:hint="eastAsia"/>
          <w:sz w:val="24"/>
          <w:lang w:val="zh-CN"/>
        </w:rPr>
        <w:t>。</w:t>
      </w:r>
      <w:r>
        <w:rPr>
          <w:sz w:val="24"/>
          <w:lang w:val="zh-CN"/>
        </w:rPr>
        <w:t>通过外业调查，获取国有农用地土地级别与基准地价评估评估的基础资料，为后续的评估工作提供依据。</w:t>
      </w:r>
    </w:p>
    <w:p w14:paraId="177F4040">
      <w:pPr>
        <w:pStyle w:val="180"/>
        <w:ind w:firstLine="480"/>
      </w:pPr>
      <w:r>
        <w:rPr>
          <w:rFonts w:hint="eastAsia"/>
        </w:rPr>
        <w:t>（2）</w:t>
      </w:r>
      <w:r>
        <w:t>前期准备</w:t>
      </w:r>
    </w:p>
    <w:p w14:paraId="79220268">
      <w:pPr>
        <w:spacing w:line="500" w:lineRule="exact"/>
        <w:ind w:firstLine="482"/>
        <w:rPr>
          <w:sz w:val="24"/>
          <w:lang w:val="zh-CN"/>
        </w:rPr>
      </w:pPr>
      <w:r>
        <w:rPr>
          <w:rFonts w:hint="eastAsia" w:ascii="宋体" w:hAnsi="宋体"/>
          <w:sz w:val="24"/>
          <w:lang w:val="zh-CN"/>
        </w:rPr>
        <w:t>①</w:t>
      </w:r>
      <w:r>
        <w:rPr>
          <w:sz w:val="24"/>
          <w:lang w:val="zh-CN"/>
        </w:rPr>
        <w:t>工作底图</w:t>
      </w:r>
    </w:p>
    <w:p w14:paraId="76C7AC10">
      <w:pPr>
        <w:spacing w:line="500" w:lineRule="exact"/>
        <w:ind w:firstLine="482"/>
        <w:rPr>
          <w:sz w:val="24"/>
          <w:lang w:val="zh-CN"/>
        </w:rPr>
      </w:pPr>
      <w:r>
        <w:rPr>
          <w:sz w:val="24"/>
          <w:lang w:val="zh-CN"/>
        </w:rPr>
        <w:t>以鄂州市土地利用现状图为工作底图。</w:t>
      </w:r>
    </w:p>
    <w:p w14:paraId="7090FAB9">
      <w:pPr>
        <w:spacing w:line="500" w:lineRule="exact"/>
        <w:ind w:firstLine="482"/>
        <w:rPr>
          <w:sz w:val="24"/>
          <w:lang w:val="zh-CN"/>
        </w:rPr>
      </w:pPr>
      <w:r>
        <w:rPr>
          <w:rFonts w:hint="eastAsia" w:ascii="宋体" w:hAnsi="宋体"/>
          <w:sz w:val="24"/>
          <w:lang w:val="zh-CN"/>
        </w:rPr>
        <w:t>②</w:t>
      </w:r>
      <w:r>
        <w:rPr>
          <w:sz w:val="24"/>
          <w:lang w:val="zh-CN"/>
        </w:rPr>
        <w:t>外业调查表格准备</w:t>
      </w:r>
    </w:p>
    <w:p w14:paraId="04DED2EC">
      <w:pPr>
        <w:spacing w:line="500" w:lineRule="exact"/>
        <w:ind w:firstLine="482"/>
        <w:rPr>
          <w:sz w:val="24"/>
          <w:lang w:val="zh-CN"/>
        </w:rPr>
      </w:pPr>
      <w:r>
        <w:rPr>
          <w:sz w:val="24"/>
          <w:lang w:val="zh-CN"/>
        </w:rPr>
        <w:t>外业调查主要是</w:t>
      </w:r>
      <w:r>
        <w:rPr>
          <w:rFonts w:ascii="宋体" w:hAnsi="宋体"/>
          <w:sz w:val="24"/>
        </w:rPr>
        <w:t>国有农用地</w:t>
      </w:r>
      <w:r>
        <w:rPr>
          <w:sz w:val="24"/>
          <w:lang w:val="zh-CN"/>
        </w:rPr>
        <w:t>承包经营权流转、</w:t>
      </w:r>
      <w:r>
        <w:rPr>
          <w:rFonts w:ascii="宋体" w:hAnsi="宋体"/>
          <w:sz w:val="24"/>
        </w:rPr>
        <w:t>国有农用地</w:t>
      </w:r>
      <w:r>
        <w:rPr>
          <w:sz w:val="24"/>
          <w:lang w:val="zh-CN"/>
        </w:rPr>
        <w:t>征收案例等。根据调查内容设计调查表。</w:t>
      </w:r>
    </w:p>
    <w:p w14:paraId="73236288">
      <w:pPr>
        <w:pStyle w:val="180"/>
        <w:ind w:firstLine="480"/>
      </w:pPr>
      <w:r>
        <w:rPr>
          <w:rFonts w:hint="eastAsia"/>
        </w:rPr>
        <w:t>（3）</w:t>
      </w:r>
      <w:r>
        <w:t>资料收集要求</w:t>
      </w:r>
    </w:p>
    <w:p w14:paraId="671D4C12">
      <w:pPr>
        <w:spacing w:line="500" w:lineRule="exact"/>
        <w:ind w:firstLine="482"/>
        <w:rPr>
          <w:sz w:val="24"/>
          <w:lang w:val="zh-CN"/>
        </w:rPr>
      </w:pPr>
      <w:r>
        <w:rPr>
          <w:rFonts w:hint="eastAsia" w:ascii="宋体" w:hAnsi="宋体"/>
          <w:sz w:val="24"/>
          <w:lang w:val="zh-CN"/>
        </w:rPr>
        <w:t>①</w:t>
      </w:r>
      <w:r>
        <w:rPr>
          <w:sz w:val="24"/>
          <w:lang w:val="zh-CN"/>
        </w:rPr>
        <w:t>规程要求样点采集要均匀分布，各类型用地样点的选取标准要明确、分布要均匀，但是考虑到实际情况在国有农用地分布区域的交易样点极少，因此尽可能在国有农用地分布区域周边收集各区位条件相近的交易案例。</w:t>
      </w:r>
    </w:p>
    <w:p w14:paraId="16380681">
      <w:pPr>
        <w:spacing w:line="500" w:lineRule="exact"/>
        <w:ind w:firstLine="482"/>
        <w:rPr>
          <w:sz w:val="24"/>
          <w:lang w:val="zh-CN"/>
        </w:rPr>
      </w:pPr>
      <w:r>
        <w:rPr>
          <w:rFonts w:hint="eastAsia" w:ascii="宋体" w:hAnsi="宋体"/>
          <w:sz w:val="24"/>
          <w:lang w:val="zh-CN"/>
        </w:rPr>
        <w:t>②</w:t>
      </w:r>
      <w:r>
        <w:rPr>
          <w:sz w:val="24"/>
          <w:lang w:val="zh-CN"/>
        </w:rPr>
        <w:t>每个样点应代表一宗完整的土地，一个样点地价就表示一个完整的宗地价格。</w:t>
      </w:r>
    </w:p>
    <w:p w14:paraId="18465952">
      <w:pPr>
        <w:spacing w:line="500" w:lineRule="exact"/>
        <w:ind w:firstLine="482"/>
        <w:rPr>
          <w:sz w:val="24"/>
          <w:lang w:val="zh-CN"/>
        </w:rPr>
      </w:pPr>
      <w:r>
        <w:rPr>
          <w:rFonts w:hint="eastAsia" w:ascii="宋体" w:hAnsi="宋体"/>
          <w:sz w:val="24"/>
          <w:lang w:val="zh-CN"/>
        </w:rPr>
        <w:t>③</w:t>
      </w:r>
      <w:r>
        <w:rPr>
          <w:sz w:val="24"/>
          <w:lang w:val="zh-CN"/>
        </w:rPr>
        <w:t>样点资料必须是全面的，包括土地使用者、种植作物、耕作制度、土壤状况、交通条件、农业配套设施等详细资料。</w:t>
      </w:r>
    </w:p>
    <w:p w14:paraId="2E745B5E">
      <w:pPr>
        <w:spacing w:line="500" w:lineRule="exact"/>
        <w:ind w:firstLine="482"/>
        <w:rPr>
          <w:sz w:val="24"/>
          <w:lang w:val="zh-CN"/>
        </w:rPr>
      </w:pPr>
      <w:r>
        <w:rPr>
          <w:rFonts w:hint="eastAsia" w:ascii="宋体" w:hAnsi="宋体"/>
          <w:sz w:val="24"/>
          <w:lang w:val="zh-CN"/>
        </w:rPr>
        <w:t>④</w:t>
      </w:r>
      <w:r>
        <w:rPr>
          <w:sz w:val="24"/>
          <w:lang w:val="zh-CN"/>
        </w:rPr>
        <w:t>资料调查以</w:t>
      </w:r>
      <w:r>
        <w:rPr>
          <w:rFonts w:ascii="宋体" w:hAnsi="宋体"/>
          <w:sz w:val="24"/>
        </w:rPr>
        <w:t>国有农用地</w:t>
      </w:r>
      <w:r>
        <w:rPr>
          <w:sz w:val="24"/>
          <w:lang w:val="zh-CN"/>
        </w:rPr>
        <w:t>级别为单位进行，按</w:t>
      </w:r>
      <w:r>
        <w:rPr>
          <w:rFonts w:ascii="宋体" w:hAnsi="宋体"/>
          <w:sz w:val="24"/>
        </w:rPr>
        <w:t>国有农用地</w:t>
      </w:r>
      <w:r>
        <w:rPr>
          <w:sz w:val="24"/>
          <w:lang w:val="zh-CN"/>
        </w:rPr>
        <w:t>级别或行政区域进行归类整理。</w:t>
      </w:r>
    </w:p>
    <w:p w14:paraId="2E1725AD">
      <w:pPr>
        <w:spacing w:line="500" w:lineRule="exact"/>
        <w:ind w:firstLine="482"/>
        <w:rPr>
          <w:sz w:val="24"/>
          <w:lang w:val="zh-CN"/>
        </w:rPr>
      </w:pPr>
      <w:r>
        <w:rPr>
          <w:rFonts w:hint="eastAsia" w:ascii="宋体" w:hAnsi="宋体"/>
          <w:sz w:val="24"/>
          <w:lang w:val="zh-CN"/>
        </w:rPr>
        <w:t>⑤</w:t>
      </w:r>
      <w:r>
        <w:rPr>
          <w:sz w:val="24"/>
          <w:lang w:val="zh-CN"/>
        </w:rPr>
        <w:t>调查、收集资料中选择的样点地块要按实地位置标注到估价工作地图上，并建立样点资料数据库。</w:t>
      </w:r>
    </w:p>
    <w:p w14:paraId="3CF16329">
      <w:pPr>
        <w:spacing w:line="500" w:lineRule="exact"/>
        <w:ind w:firstLine="482"/>
        <w:rPr>
          <w:sz w:val="24"/>
          <w:lang w:val="zh-CN"/>
        </w:rPr>
      </w:pPr>
      <w:r>
        <w:rPr>
          <w:rFonts w:hint="eastAsia"/>
          <w:sz w:val="24"/>
          <w:lang w:val="zh-CN"/>
        </w:rPr>
        <w:t>⑥</w:t>
      </w:r>
      <w:r>
        <w:rPr>
          <w:rFonts w:ascii="宋体" w:hAnsi="宋体"/>
          <w:sz w:val="24"/>
        </w:rPr>
        <w:t>国有农用地</w:t>
      </w:r>
      <w:r>
        <w:rPr>
          <w:sz w:val="24"/>
          <w:lang w:val="zh-CN"/>
        </w:rPr>
        <w:t>流转承包、转包、出租、拍卖、抵押、联营入股等交易资料和</w:t>
      </w:r>
      <w:r>
        <w:rPr>
          <w:rFonts w:ascii="宋体" w:hAnsi="宋体"/>
          <w:sz w:val="24"/>
        </w:rPr>
        <w:t>国有农用地</w:t>
      </w:r>
      <w:r>
        <w:rPr>
          <w:sz w:val="24"/>
          <w:lang w:val="zh-CN"/>
        </w:rPr>
        <w:t>收益资料中的价格指标均以元为单位，面积指标均以平方米为单位，指标数值精确到小数点后两位。</w:t>
      </w:r>
    </w:p>
    <w:p w14:paraId="3DCA748F">
      <w:pPr>
        <w:pStyle w:val="180"/>
        <w:ind w:firstLine="480"/>
      </w:pPr>
      <w:r>
        <w:rPr>
          <w:rFonts w:hint="eastAsia"/>
        </w:rPr>
        <w:t>（4）</w:t>
      </w:r>
      <w:r>
        <w:t>调查成果整理</w:t>
      </w:r>
    </w:p>
    <w:p w14:paraId="5F46E67E">
      <w:pPr>
        <w:spacing w:line="500" w:lineRule="exact"/>
        <w:ind w:firstLine="482"/>
        <w:rPr>
          <w:bCs/>
          <w:sz w:val="24"/>
        </w:rPr>
      </w:pPr>
      <w:r>
        <w:rPr>
          <w:rFonts w:hint="eastAsia" w:ascii="宋体" w:hAnsi="宋体"/>
          <w:bCs/>
          <w:sz w:val="24"/>
        </w:rPr>
        <w:t>①</w:t>
      </w:r>
      <w:r>
        <w:rPr>
          <w:bCs/>
          <w:sz w:val="24"/>
        </w:rPr>
        <w:t>资料的检查</w:t>
      </w:r>
    </w:p>
    <w:p w14:paraId="262DD60E">
      <w:pPr>
        <w:spacing w:line="500" w:lineRule="exact"/>
        <w:ind w:firstLine="482"/>
        <w:rPr>
          <w:sz w:val="24"/>
          <w:lang w:val="zh-CN"/>
        </w:rPr>
      </w:pPr>
      <w:r>
        <w:rPr>
          <w:sz w:val="24"/>
          <w:lang w:val="zh-CN"/>
        </w:rPr>
        <w:t>为了保证外业调查资料的真实、可靠，在整个调查过程中，建立了一套严格的检查制度。各作业组调查的资料，首先由调查者自检，如有遗漏和不实，及时补充和改正；然后调查者互检，进一步检查并纠正错误；最后由调查组负责人通过抽查方式检查。检查通过后的全部资料还要经过技术组统一复查、评议。此外，还重点检查了土地承包经营权流转资料。为了保证收集到的交易资料的真实性，一方面，按不同区域、耕地类型、区位条件对重要样点进行抽查；另一方面，对有缺项、数据明显矛盾、交易价格明显偏低、偏高的样点重新进行调查</w:t>
      </w:r>
    </w:p>
    <w:p w14:paraId="2E1BF4FA">
      <w:pPr>
        <w:spacing w:line="500" w:lineRule="exact"/>
        <w:ind w:firstLine="482"/>
        <w:rPr>
          <w:sz w:val="24"/>
          <w:lang w:val="zh-CN"/>
        </w:rPr>
      </w:pPr>
      <w:r>
        <w:rPr>
          <w:rFonts w:hint="eastAsia" w:ascii="宋体" w:hAnsi="宋体"/>
          <w:sz w:val="24"/>
          <w:lang w:val="zh-CN"/>
        </w:rPr>
        <w:t>②</w:t>
      </w:r>
      <w:r>
        <w:rPr>
          <w:sz w:val="24"/>
          <w:lang w:val="zh-CN"/>
        </w:rPr>
        <w:t>样点资料汇总</w:t>
      </w:r>
    </w:p>
    <w:p w14:paraId="213DC0E8">
      <w:pPr>
        <w:spacing w:line="500" w:lineRule="exact"/>
        <w:ind w:firstLine="482"/>
        <w:rPr>
          <w:sz w:val="24"/>
        </w:rPr>
      </w:pPr>
      <w:r>
        <w:rPr>
          <w:sz w:val="24"/>
          <w:lang w:val="zh-CN"/>
        </w:rPr>
        <w:t>评估工作人员通过不同方法和途径，进行了资料收集与调查，调查中坚持资料来源于市场、反映当前最新国有农用地市场状况，保证了调查资料的真实性和可靠性。</w:t>
      </w:r>
    </w:p>
    <w:p w14:paraId="2731DEAB">
      <w:pPr>
        <w:spacing w:line="500" w:lineRule="exact"/>
        <w:ind w:firstLine="482"/>
        <w:rPr>
          <w:kern w:val="28"/>
          <w:sz w:val="24"/>
        </w:rPr>
      </w:pPr>
      <w:r>
        <w:rPr>
          <w:kern w:val="28"/>
          <w:sz w:val="24"/>
        </w:rPr>
        <w:t>本次鄂州市国有农用地土地级别与基准地价评估共收集样点90个，剔出不合格样点4个，有效样点为86个。具体样点分布图见图2-2。</w:t>
      </w:r>
    </w:p>
    <w:p w14:paraId="338F9E67">
      <w:pPr>
        <w:spacing w:line="360" w:lineRule="auto"/>
        <w:jc w:val="center"/>
        <w:rPr>
          <w:sz w:val="24"/>
        </w:rPr>
      </w:pPr>
      <w:r>
        <w:rPr>
          <w:sz w:val="24"/>
        </w:rPr>
        <w:drawing>
          <wp:inline distT="0" distB="0" distL="0" distR="0">
            <wp:extent cx="4105275" cy="4105275"/>
            <wp:effectExtent l="0" t="0" r="9525" b="9525"/>
            <wp:docPr id="27" name="图片 27" descr="E:\基准地价2\国有农用地\出图\鄂州市样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基准地价2\国有农用地\出图\鄂州市样点.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107043" cy="4107043"/>
                    </a:xfrm>
                    <a:prstGeom prst="rect">
                      <a:avLst/>
                    </a:prstGeom>
                    <a:noFill/>
                    <a:ln>
                      <a:noFill/>
                    </a:ln>
                  </pic:spPr>
                </pic:pic>
              </a:graphicData>
            </a:graphic>
          </wp:inline>
        </w:drawing>
      </w:r>
    </w:p>
    <w:p w14:paraId="2FF9408F">
      <w:pPr>
        <w:spacing w:line="360" w:lineRule="auto"/>
        <w:ind w:firstLine="422"/>
        <w:jc w:val="center"/>
        <w:rPr>
          <w:sz w:val="24"/>
          <w:lang w:val="zh-CN"/>
        </w:rPr>
      </w:pPr>
      <w:r>
        <w:rPr>
          <w:b/>
          <w:szCs w:val="21"/>
        </w:rPr>
        <w:t>图2-2</w:t>
      </w:r>
      <w:r>
        <w:rPr>
          <w:rFonts w:ascii="宋体" w:hAnsi="宋体"/>
          <w:b/>
          <w:szCs w:val="21"/>
        </w:rPr>
        <w:t>国有农用地</w:t>
      </w:r>
      <w:r>
        <w:rPr>
          <w:b/>
          <w:szCs w:val="21"/>
          <w:lang w:val="zh-CN"/>
        </w:rPr>
        <w:t>样点分布图</w:t>
      </w:r>
    </w:p>
    <w:p w14:paraId="312FDF86">
      <w:pPr>
        <w:spacing w:line="500" w:lineRule="exact"/>
        <w:ind w:firstLine="482"/>
        <w:rPr>
          <w:sz w:val="24"/>
          <w:lang w:val="zh-CN"/>
        </w:rPr>
      </w:pPr>
      <w:r>
        <w:rPr>
          <w:rFonts w:hint="eastAsia" w:ascii="宋体" w:hAnsi="宋体"/>
          <w:sz w:val="24"/>
          <w:lang w:val="zh-CN"/>
        </w:rPr>
        <w:t>③</w:t>
      </w:r>
      <w:r>
        <w:rPr>
          <w:sz w:val="24"/>
          <w:lang w:val="zh-CN"/>
        </w:rPr>
        <w:t>资料的整理归档与验收</w:t>
      </w:r>
    </w:p>
    <w:p w14:paraId="67EC0166">
      <w:pPr>
        <w:spacing w:line="500" w:lineRule="exact"/>
        <w:ind w:firstLine="482"/>
        <w:rPr>
          <w:sz w:val="24"/>
          <w:lang w:val="zh-CN"/>
        </w:rPr>
      </w:pPr>
      <w:r>
        <w:rPr>
          <w:sz w:val="24"/>
          <w:lang w:val="zh-CN"/>
        </w:rPr>
        <w:t>对完成检查的调查表格、文字资料按类型进行整理，装订成册，并按数据处理要求对调查图件进行整饰。对初步整理好的资料，由技术组进行全面验收，验收的重点在于外业资料的全面性、规范性和真实性。</w:t>
      </w:r>
    </w:p>
    <w:p w14:paraId="1A90E13A">
      <w:pPr>
        <w:spacing w:line="500" w:lineRule="exact"/>
        <w:ind w:firstLine="482"/>
        <w:rPr>
          <w:sz w:val="24"/>
          <w:lang w:val="zh-CN"/>
        </w:rPr>
      </w:pPr>
      <w:r>
        <w:rPr>
          <w:rFonts w:hint="eastAsia" w:ascii="宋体" w:hAnsi="宋体"/>
          <w:sz w:val="24"/>
          <w:lang w:val="zh-CN"/>
        </w:rPr>
        <w:t>④</w:t>
      </w:r>
      <w:r>
        <w:rPr>
          <w:sz w:val="24"/>
          <w:lang w:val="zh-CN"/>
        </w:rPr>
        <w:t>样点资料的输入</w:t>
      </w:r>
    </w:p>
    <w:p w14:paraId="3A74DF36">
      <w:pPr>
        <w:spacing w:line="500" w:lineRule="exact"/>
        <w:ind w:firstLine="482"/>
        <w:rPr>
          <w:b/>
          <w:szCs w:val="21"/>
        </w:rPr>
      </w:pPr>
      <w:r>
        <w:rPr>
          <w:sz w:val="24"/>
          <w:lang w:val="zh-CN"/>
        </w:rPr>
        <w:t>利用ArcGIS软件将调查表中的样点数据编号并建立属性表，填入上述</w:t>
      </w:r>
      <w:r>
        <w:rPr>
          <w:rFonts w:ascii="宋体" w:hAnsi="宋体"/>
          <w:sz w:val="24"/>
        </w:rPr>
        <w:t>国有农用地</w:t>
      </w:r>
      <w:r>
        <w:rPr>
          <w:sz w:val="24"/>
          <w:lang w:val="zh-CN"/>
        </w:rPr>
        <w:t>交易样点的调查信息</w:t>
      </w:r>
      <w:r>
        <w:rPr>
          <w:rFonts w:hint="eastAsia"/>
          <w:sz w:val="24"/>
          <w:lang w:val="zh-CN"/>
        </w:rPr>
        <w:t>，</w:t>
      </w:r>
      <w:r>
        <w:rPr>
          <w:sz w:val="24"/>
          <w:lang w:val="zh-CN"/>
        </w:rPr>
        <w:t>建立鄂州市国有农用地地价样点资料信息库。</w:t>
      </w:r>
    </w:p>
    <w:p w14:paraId="450B2821">
      <w:pPr>
        <w:ind w:firstLine="420"/>
      </w:pPr>
      <w:r>
        <w:br w:type="page"/>
      </w:r>
    </w:p>
    <w:p w14:paraId="7B96ED1F">
      <w:pPr>
        <w:pStyle w:val="2"/>
        <w:keepNext w:val="0"/>
        <w:keepLines w:val="0"/>
        <w:pageBreakBefore/>
        <w:widowControl w:val="0"/>
        <w:tabs>
          <w:tab w:val="left" w:pos="1440"/>
        </w:tabs>
        <w:spacing w:line="360" w:lineRule="auto"/>
        <w:ind w:left="578" w:hanging="578" w:hangingChars="192"/>
        <w:jc w:val="center"/>
        <w:rPr>
          <w:rFonts w:ascii="黑体" w:hAnsi="黑体" w:eastAsia="黑体"/>
          <w:sz w:val="30"/>
          <w:szCs w:val="30"/>
        </w:rPr>
      </w:pPr>
      <w:bookmarkStart w:id="83" w:name="_Toc532729859"/>
      <w:bookmarkStart w:id="84" w:name="_Toc47384598"/>
      <w:r>
        <w:rPr>
          <w:rFonts w:ascii="黑体" w:hAnsi="黑体" w:eastAsia="黑体"/>
          <w:sz w:val="30"/>
          <w:szCs w:val="30"/>
        </w:rPr>
        <w:t>第三章</w:t>
      </w:r>
      <w:bookmarkEnd w:id="83"/>
      <w:r>
        <w:rPr>
          <w:rFonts w:ascii="黑体" w:hAnsi="黑体" w:eastAsia="黑体"/>
          <w:sz w:val="30"/>
          <w:szCs w:val="30"/>
        </w:rPr>
        <w:t>国有农用地定级</w:t>
      </w:r>
      <w:bookmarkEnd w:id="84"/>
    </w:p>
    <w:p w14:paraId="4A3459F4">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85" w:name="_Toc47384599"/>
      <w:bookmarkStart w:id="86" w:name="_Toc532729860"/>
      <w:r>
        <w:rPr>
          <w:rFonts w:hint="eastAsia" w:ascii="宋体" w:hAnsi="宋体"/>
          <w:bCs/>
          <w:kern w:val="2"/>
          <w:szCs w:val="28"/>
        </w:rPr>
        <w:t>3</w:t>
      </w:r>
      <w:r>
        <w:rPr>
          <w:rFonts w:ascii="宋体" w:hAnsi="宋体"/>
          <w:bCs/>
          <w:kern w:val="2"/>
          <w:szCs w:val="28"/>
        </w:rPr>
        <w:t>.1 国有农用地定级指标体系和权重确定</w:t>
      </w:r>
      <w:bookmarkEnd w:id="85"/>
      <w:bookmarkEnd w:id="86"/>
    </w:p>
    <w:p w14:paraId="4F91B2A6">
      <w:pPr>
        <w:pStyle w:val="4"/>
        <w:widowControl w:val="0"/>
        <w:tabs>
          <w:tab w:val="left" w:pos="720"/>
        </w:tabs>
        <w:spacing w:before="120" w:after="120" w:line="500" w:lineRule="exact"/>
        <w:ind w:left="826" w:hanging="826"/>
        <w:jc w:val="both"/>
        <w:rPr>
          <w:rFonts w:ascii="宋体" w:hAnsi="宋体"/>
          <w:sz w:val="24"/>
          <w:szCs w:val="24"/>
        </w:rPr>
      </w:pPr>
      <w:bookmarkStart w:id="87" w:name="_Toc47384600"/>
      <w:bookmarkStart w:id="88" w:name="_Toc534833332"/>
      <w:bookmarkStart w:id="89" w:name="_Toc532729861"/>
      <w:bookmarkStart w:id="90" w:name="_Toc535399909"/>
      <w:r>
        <w:rPr>
          <w:rFonts w:hint="eastAsia" w:ascii="宋体" w:hAnsi="宋体"/>
          <w:sz w:val="24"/>
          <w:szCs w:val="24"/>
        </w:rPr>
        <w:t>3</w:t>
      </w:r>
      <w:r>
        <w:rPr>
          <w:rFonts w:ascii="宋体" w:hAnsi="宋体"/>
          <w:sz w:val="24"/>
          <w:szCs w:val="24"/>
        </w:rPr>
        <w:t>.1.1 国有农用地定级因素选择</w:t>
      </w:r>
      <w:bookmarkEnd w:id="87"/>
      <w:bookmarkEnd w:id="88"/>
      <w:bookmarkEnd w:id="89"/>
      <w:bookmarkEnd w:id="90"/>
    </w:p>
    <w:p w14:paraId="619B130E">
      <w:pPr>
        <w:spacing w:line="500" w:lineRule="exact"/>
        <w:ind w:firstLine="482"/>
        <w:rPr>
          <w:sz w:val="24"/>
        </w:rPr>
      </w:pPr>
      <w:r>
        <w:rPr>
          <w:sz w:val="24"/>
        </w:rPr>
        <w:t>土地利用系统是一个自然、社会经济综合作用的系统，它的影响因素包括自然、社会经济</w:t>
      </w:r>
      <w:r>
        <w:rPr>
          <w:rFonts w:hint="eastAsia"/>
          <w:sz w:val="24"/>
        </w:rPr>
        <w:t>等方面</w:t>
      </w:r>
      <w:r>
        <w:rPr>
          <w:sz w:val="24"/>
        </w:rPr>
        <w:t>，因而必须选择对土地的适宜性影响大、稳定性高且能确切反映土地质量差异的因素因子对</w:t>
      </w:r>
      <w:r>
        <w:rPr>
          <w:rFonts w:ascii="宋体" w:hAnsi="宋体"/>
          <w:sz w:val="24"/>
        </w:rPr>
        <w:t>国有农用地</w:t>
      </w:r>
      <w:r>
        <w:rPr>
          <w:sz w:val="24"/>
        </w:rPr>
        <w:t>进行定级评价。</w:t>
      </w:r>
    </w:p>
    <w:p w14:paraId="1618D934">
      <w:pPr>
        <w:pStyle w:val="180"/>
        <w:ind w:firstLine="480"/>
      </w:pPr>
      <w:r>
        <w:rPr>
          <w:rFonts w:hint="eastAsia"/>
        </w:rPr>
        <w:t>（1）</w:t>
      </w:r>
      <w:r>
        <w:t>国有农用地定级因素选取原则</w:t>
      </w:r>
    </w:p>
    <w:p w14:paraId="16EEE6A0">
      <w:pPr>
        <w:spacing w:line="500" w:lineRule="exact"/>
        <w:ind w:firstLine="482"/>
        <w:rPr>
          <w:sz w:val="24"/>
        </w:rPr>
      </w:pPr>
      <w:r>
        <w:rPr>
          <w:sz w:val="24"/>
        </w:rPr>
        <w:t>影响土地级别的因素有多种，在选择土地定级因素时，既要考虑经济效益、社会效益和生态效益，同时要因地制宜地选取对土地级别起主导作用，能反映土地差异的因子。</w:t>
      </w:r>
    </w:p>
    <w:p w14:paraId="6DD561C1">
      <w:pPr>
        <w:spacing w:line="500" w:lineRule="exact"/>
        <w:ind w:firstLine="482"/>
        <w:rPr>
          <w:sz w:val="24"/>
        </w:rPr>
      </w:pPr>
      <w:r>
        <w:rPr>
          <w:rFonts w:hint="eastAsia" w:ascii="宋体" w:hAnsi="宋体"/>
          <w:sz w:val="24"/>
        </w:rPr>
        <w:t>①</w:t>
      </w:r>
      <w:r>
        <w:rPr>
          <w:sz w:val="24"/>
        </w:rPr>
        <w:t>主导性原则：从影响土地质量的众多指标中选择制约土地用途的主要因子，增强土地质量评价的科学性和简洁性；</w:t>
      </w:r>
    </w:p>
    <w:p w14:paraId="12D0F7C1">
      <w:pPr>
        <w:spacing w:line="500" w:lineRule="exact"/>
        <w:ind w:firstLine="482"/>
        <w:rPr>
          <w:sz w:val="24"/>
        </w:rPr>
      </w:pPr>
      <w:r>
        <w:rPr>
          <w:rFonts w:hint="eastAsia" w:ascii="宋体" w:hAnsi="宋体"/>
          <w:sz w:val="24"/>
        </w:rPr>
        <w:t>②</w:t>
      </w:r>
      <w:r>
        <w:rPr>
          <w:sz w:val="24"/>
        </w:rPr>
        <w:t>差异性原则：选择研究区内有明显差异，能够出现临界值的因子，客观地划分土地等级，否则将有悖于评价目的；</w:t>
      </w:r>
    </w:p>
    <w:p w14:paraId="517092D4">
      <w:pPr>
        <w:spacing w:line="500" w:lineRule="exact"/>
        <w:ind w:firstLine="482"/>
        <w:rPr>
          <w:sz w:val="24"/>
        </w:rPr>
      </w:pPr>
      <w:r>
        <w:rPr>
          <w:rFonts w:hint="eastAsia" w:ascii="宋体" w:hAnsi="宋体"/>
          <w:sz w:val="24"/>
        </w:rPr>
        <w:t>③</w:t>
      </w:r>
      <w:r>
        <w:rPr>
          <w:sz w:val="24"/>
        </w:rPr>
        <w:t>不相容性(独立性)原则：即要求所选的指标体系能够尽量反映土地的全部属性，指标间不能出现因果关系，避免重复评价；</w:t>
      </w:r>
    </w:p>
    <w:p w14:paraId="26381679">
      <w:pPr>
        <w:spacing w:line="500" w:lineRule="exact"/>
        <w:ind w:firstLine="482"/>
        <w:rPr>
          <w:sz w:val="24"/>
        </w:rPr>
      </w:pPr>
      <w:r>
        <w:rPr>
          <w:rFonts w:hint="eastAsia" w:ascii="宋体" w:hAnsi="宋体"/>
          <w:sz w:val="24"/>
        </w:rPr>
        <w:t>④</w:t>
      </w:r>
      <w:r>
        <w:rPr>
          <w:sz w:val="24"/>
        </w:rPr>
        <w:t>因地制宜原则：由于不同地域评价因子差异较大，不同地区的评价指标体系不同，应深入分析研究区域的地理条件和社会经济条件的特点，选择适合的指标体系</w:t>
      </w:r>
      <w:r>
        <w:rPr>
          <w:rFonts w:hint="eastAsia"/>
          <w:sz w:val="24"/>
        </w:rPr>
        <w:t>；</w:t>
      </w:r>
    </w:p>
    <w:p w14:paraId="32CDF02F">
      <w:pPr>
        <w:spacing w:line="500" w:lineRule="exact"/>
        <w:ind w:firstLine="482"/>
        <w:rPr>
          <w:sz w:val="24"/>
        </w:rPr>
      </w:pPr>
      <w:r>
        <w:rPr>
          <w:rFonts w:hint="eastAsia" w:ascii="宋体" w:hAnsi="宋体"/>
          <w:sz w:val="24"/>
        </w:rPr>
        <w:t>⑤</w:t>
      </w:r>
      <w:r>
        <w:rPr>
          <w:sz w:val="24"/>
        </w:rPr>
        <w:t>定量与定性相结合原则：尽量把定性的、经验性的指标进行量化，以定量为主，必要时对现阶段难以定量的指标采用定性分析，减少人为影响，提高精度。</w:t>
      </w:r>
    </w:p>
    <w:p w14:paraId="66991233">
      <w:pPr>
        <w:pStyle w:val="180"/>
        <w:ind w:firstLine="480"/>
      </w:pPr>
      <w:r>
        <w:rPr>
          <w:rFonts w:hint="eastAsia"/>
        </w:rPr>
        <w:t>（2）</w:t>
      </w:r>
      <w:r>
        <w:t>国有农用地定级指标体系</w:t>
      </w:r>
    </w:p>
    <w:p w14:paraId="491D4689">
      <w:pPr>
        <w:spacing w:line="500" w:lineRule="exact"/>
        <w:ind w:firstLine="482"/>
        <w:rPr>
          <w:b/>
          <w:sz w:val="24"/>
        </w:rPr>
      </w:pPr>
      <w:r>
        <w:rPr>
          <w:sz w:val="24"/>
        </w:rPr>
        <w:t>目前，确定</w:t>
      </w:r>
      <w:r>
        <w:rPr>
          <w:rFonts w:ascii="宋体" w:hAnsi="宋体"/>
          <w:sz w:val="24"/>
        </w:rPr>
        <w:t>国有农用地</w:t>
      </w:r>
      <w:r>
        <w:rPr>
          <w:sz w:val="24"/>
        </w:rPr>
        <w:t>定级因素、因子和权重的方法常用的有特尔斐法、层次分析法、主成分分析法、回归分析法等。结合鄂州市国有农用地的实际情况，选用特尔斐法对定级因素、因子进行确定得到本轮国有农用地的定级因素因子指标体系，</w:t>
      </w:r>
      <w:r>
        <w:rPr>
          <w:rFonts w:hint="eastAsia"/>
          <w:sz w:val="24"/>
        </w:rPr>
        <w:t>具体见</w:t>
      </w:r>
      <w:r>
        <w:rPr>
          <w:sz w:val="24"/>
        </w:rPr>
        <w:t>表3-1。</w:t>
      </w:r>
    </w:p>
    <w:p w14:paraId="5FBCD858">
      <w:pPr>
        <w:spacing w:line="500" w:lineRule="exact"/>
        <w:ind w:firstLine="422"/>
        <w:jc w:val="center"/>
        <w:rPr>
          <w:b/>
          <w:color w:val="000000"/>
          <w:szCs w:val="21"/>
        </w:rPr>
      </w:pPr>
      <w:r>
        <w:rPr>
          <w:b/>
          <w:color w:val="000000"/>
          <w:szCs w:val="21"/>
        </w:rPr>
        <w:t>表3-1 鄂州市国有农用地定级因素表</w:t>
      </w:r>
    </w:p>
    <w:tbl>
      <w:tblPr>
        <w:tblStyle w:val="39"/>
        <w:tblW w:w="8528" w:type="dxa"/>
        <w:jc w:val="center"/>
        <w:tblLayout w:type="fixed"/>
        <w:tblCellMar>
          <w:top w:w="0" w:type="dxa"/>
          <w:left w:w="108" w:type="dxa"/>
          <w:bottom w:w="0" w:type="dxa"/>
          <w:right w:w="108" w:type="dxa"/>
        </w:tblCellMar>
      </w:tblPr>
      <w:tblGrid>
        <w:gridCol w:w="1874"/>
        <w:gridCol w:w="1907"/>
        <w:gridCol w:w="2427"/>
        <w:gridCol w:w="2320"/>
      </w:tblGrid>
      <w:tr w14:paraId="2768F697">
        <w:tblPrEx>
          <w:tblCellMar>
            <w:top w:w="0" w:type="dxa"/>
            <w:left w:w="108" w:type="dxa"/>
            <w:bottom w:w="0" w:type="dxa"/>
            <w:right w:w="108" w:type="dxa"/>
          </w:tblCellMar>
        </w:tblPrEx>
        <w:trPr>
          <w:trHeight w:val="179" w:hRule="atLeast"/>
          <w:jc w:val="center"/>
        </w:trPr>
        <w:tc>
          <w:tcPr>
            <w:tcW w:w="1874" w:type="dxa"/>
            <w:tcBorders>
              <w:top w:val="single" w:color="auto" w:sz="4" w:space="0"/>
              <w:left w:val="single" w:color="auto" w:sz="4" w:space="0"/>
              <w:bottom w:val="single" w:color="auto" w:sz="4" w:space="0"/>
              <w:right w:val="single" w:color="auto" w:sz="4" w:space="0"/>
            </w:tcBorders>
            <w:vAlign w:val="center"/>
          </w:tcPr>
          <w:p w14:paraId="3FCD6851">
            <w:pPr>
              <w:jc w:val="center"/>
              <w:rPr>
                <w:b/>
                <w:kern w:val="0"/>
                <w:szCs w:val="21"/>
              </w:rPr>
            </w:pPr>
            <w:r>
              <w:rPr>
                <w:b/>
                <w:kern w:val="0"/>
                <w:szCs w:val="21"/>
              </w:rPr>
              <w:t>类别</w:t>
            </w:r>
          </w:p>
        </w:tc>
        <w:tc>
          <w:tcPr>
            <w:tcW w:w="1907" w:type="dxa"/>
            <w:tcBorders>
              <w:top w:val="single" w:color="auto" w:sz="4" w:space="0"/>
              <w:left w:val="nil"/>
              <w:bottom w:val="single" w:color="auto" w:sz="4" w:space="0"/>
              <w:right w:val="single" w:color="auto" w:sz="4" w:space="0"/>
            </w:tcBorders>
            <w:vAlign w:val="center"/>
          </w:tcPr>
          <w:p w14:paraId="32D4CA2B">
            <w:pPr>
              <w:jc w:val="center"/>
              <w:rPr>
                <w:b/>
                <w:kern w:val="0"/>
                <w:szCs w:val="21"/>
              </w:rPr>
            </w:pPr>
            <w:r>
              <w:rPr>
                <w:b/>
                <w:kern w:val="0"/>
                <w:szCs w:val="21"/>
              </w:rPr>
              <w:t>因素</w:t>
            </w:r>
          </w:p>
        </w:tc>
        <w:tc>
          <w:tcPr>
            <w:tcW w:w="2427" w:type="dxa"/>
            <w:tcBorders>
              <w:top w:val="single" w:color="auto" w:sz="4" w:space="0"/>
              <w:left w:val="nil"/>
              <w:bottom w:val="single" w:color="auto" w:sz="4" w:space="0"/>
              <w:right w:val="single" w:color="auto" w:sz="4" w:space="0"/>
            </w:tcBorders>
            <w:vAlign w:val="center"/>
          </w:tcPr>
          <w:p w14:paraId="70D6C84F">
            <w:pPr>
              <w:jc w:val="center"/>
              <w:rPr>
                <w:b/>
                <w:kern w:val="0"/>
                <w:szCs w:val="21"/>
              </w:rPr>
            </w:pPr>
            <w:r>
              <w:rPr>
                <w:b/>
                <w:kern w:val="0"/>
                <w:szCs w:val="21"/>
              </w:rPr>
              <w:t>二级因子</w:t>
            </w:r>
          </w:p>
        </w:tc>
        <w:tc>
          <w:tcPr>
            <w:tcW w:w="2320" w:type="dxa"/>
            <w:tcBorders>
              <w:top w:val="single" w:color="auto" w:sz="4" w:space="0"/>
              <w:left w:val="nil"/>
              <w:bottom w:val="single" w:color="auto" w:sz="4" w:space="0"/>
              <w:right w:val="single" w:color="auto" w:sz="4" w:space="0"/>
            </w:tcBorders>
            <w:vAlign w:val="center"/>
          </w:tcPr>
          <w:p w14:paraId="0145D70D">
            <w:pPr>
              <w:jc w:val="center"/>
              <w:rPr>
                <w:b/>
                <w:kern w:val="0"/>
                <w:szCs w:val="21"/>
              </w:rPr>
            </w:pPr>
            <w:r>
              <w:rPr>
                <w:b/>
                <w:kern w:val="0"/>
                <w:szCs w:val="21"/>
              </w:rPr>
              <w:t>定级因子</w:t>
            </w:r>
          </w:p>
        </w:tc>
      </w:tr>
      <w:tr w14:paraId="24CF2887">
        <w:tblPrEx>
          <w:tblCellMar>
            <w:top w:w="0" w:type="dxa"/>
            <w:left w:w="108" w:type="dxa"/>
            <w:bottom w:w="0" w:type="dxa"/>
            <w:right w:w="108" w:type="dxa"/>
          </w:tblCellMar>
        </w:tblPrEx>
        <w:trPr>
          <w:trHeight w:val="179" w:hRule="atLeast"/>
          <w:jc w:val="center"/>
        </w:trPr>
        <w:tc>
          <w:tcPr>
            <w:tcW w:w="1874" w:type="dxa"/>
            <w:vMerge w:val="restart"/>
            <w:tcBorders>
              <w:top w:val="nil"/>
              <w:left w:val="single" w:color="auto" w:sz="4" w:space="0"/>
              <w:bottom w:val="single" w:color="auto" w:sz="4" w:space="0"/>
              <w:right w:val="single" w:color="auto" w:sz="4" w:space="0"/>
            </w:tcBorders>
            <w:vAlign w:val="center"/>
          </w:tcPr>
          <w:p w14:paraId="50EB178B">
            <w:pPr>
              <w:jc w:val="center"/>
              <w:rPr>
                <w:kern w:val="0"/>
                <w:szCs w:val="21"/>
              </w:rPr>
            </w:pPr>
            <w:r>
              <w:rPr>
                <w:kern w:val="0"/>
                <w:szCs w:val="21"/>
              </w:rPr>
              <w:t>国有农用地定级</w:t>
            </w:r>
          </w:p>
        </w:tc>
        <w:tc>
          <w:tcPr>
            <w:tcW w:w="1907" w:type="dxa"/>
            <w:vMerge w:val="restart"/>
            <w:tcBorders>
              <w:top w:val="nil"/>
              <w:left w:val="single" w:color="auto" w:sz="4" w:space="0"/>
              <w:bottom w:val="single" w:color="auto" w:sz="4" w:space="0"/>
              <w:right w:val="single" w:color="auto" w:sz="4" w:space="0"/>
            </w:tcBorders>
            <w:vAlign w:val="center"/>
          </w:tcPr>
          <w:p w14:paraId="54D71FFA">
            <w:pPr>
              <w:jc w:val="center"/>
              <w:rPr>
                <w:kern w:val="0"/>
                <w:szCs w:val="21"/>
              </w:rPr>
            </w:pPr>
            <w:r>
              <w:rPr>
                <w:kern w:val="0"/>
                <w:szCs w:val="21"/>
              </w:rPr>
              <w:t>自然质量</w:t>
            </w:r>
          </w:p>
        </w:tc>
        <w:tc>
          <w:tcPr>
            <w:tcW w:w="2427" w:type="dxa"/>
            <w:tcBorders>
              <w:top w:val="nil"/>
              <w:left w:val="nil"/>
              <w:bottom w:val="single" w:color="auto" w:sz="4" w:space="0"/>
              <w:right w:val="single" w:color="auto" w:sz="4" w:space="0"/>
            </w:tcBorders>
            <w:vAlign w:val="center"/>
          </w:tcPr>
          <w:p w14:paraId="63FD929A">
            <w:pPr>
              <w:jc w:val="center"/>
              <w:rPr>
                <w:kern w:val="0"/>
                <w:szCs w:val="21"/>
              </w:rPr>
            </w:pPr>
            <w:r>
              <w:rPr>
                <w:kern w:val="0"/>
                <w:szCs w:val="21"/>
              </w:rPr>
              <w:t>地形条件</w:t>
            </w:r>
          </w:p>
        </w:tc>
        <w:tc>
          <w:tcPr>
            <w:tcW w:w="2320" w:type="dxa"/>
            <w:tcBorders>
              <w:top w:val="nil"/>
              <w:left w:val="nil"/>
              <w:bottom w:val="single" w:color="auto" w:sz="4" w:space="0"/>
              <w:right w:val="single" w:color="auto" w:sz="4" w:space="0"/>
            </w:tcBorders>
            <w:vAlign w:val="center"/>
          </w:tcPr>
          <w:p w14:paraId="6EF37B77">
            <w:pPr>
              <w:jc w:val="center"/>
              <w:rPr>
                <w:kern w:val="0"/>
                <w:szCs w:val="21"/>
              </w:rPr>
            </w:pPr>
            <w:r>
              <w:rPr>
                <w:kern w:val="0"/>
                <w:szCs w:val="21"/>
              </w:rPr>
              <w:t>地形坡度</w:t>
            </w:r>
          </w:p>
        </w:tc>
      </w:tr>
      <w:tr w14:paraId="3C6637E7">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624CCB81">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2534B425">
            <w:pPr>
              <w:keepNext/>
              <w:keepLines/>
              <w:spacing w:before="340" w:after="330" w:line="578" w:lineRule="auto"/>
              <w:outlineLvl w:val="0"/>
              <w:rPr>
                <w:kern w:val="0"/>
                <w:szCs w:val="21"/>
              </w:rPr>
            </w:pPr>
          </w:p>
        </w:tc>
        <w:tc>
          <w:tcPr>
            <w:tcW w:w="2427" w:type="dxa"/>
            <w:vMerge w:val="restart"/>
            <w:tcBorders>
              <w:top w:val="nil"/>
              <w:left w:val="single" w:color="auto" w:sz="4" w:space="0"/>
              <w:bottom w:val="single" w:color="auto" w:sz="4" w:space="0"/>
              <w:right w:val="single" w:color="auto" w:sz="4" w:space="0"/>
            </w:tcBorders>
            <w:vAlign w:val="center"/>
          </w:tcPr>
          <w:p w14:paraId="37D93A53">
            <w:pPr>
              <w:jc w:val="center"/>
              <w:rPr>
                <w:kern w:val="0"/>
                <w:szCs w:val="21"/>
              </w:rPr>
            </w:pPr>
            <w:r>
              <w:rPr>
                <w:kern w:val="0"/>
                <w:szCs w:val="21"/>
              </w:rPr>
              <w:t>土壤条件</w:t>
            </w:r>
          </w:p>
        </w:tc>
        <w:tc>
          <w:tcPr>
            <w:tcW w:w="2320" w:type="dxa"/>
            <w:tcBorders>
              <w:top w:val="nil"/>
              <w:left w:val="nil"/>
              <w:bottom w:val="single" w:color="auto" w:sz="4" w:space="0"/>
              <w:right w:val="single" w:color="auto" w:sz="4" w:space="0"/>
            </w:tcBorders>
            <w:vAlign w:val="center"/>
          </w:tcPr>
          <w:p w14:paraId="5139BAB6">
            <w:pPr>
              <w:jc w:val="center"/>
              <w:rPr>
                <w:kern w:val="0"/>
                <w:szCs w:val="21"/>
              </w:rPr>
            </w:pPr>
            <w:r>
              <w:rPr>
                <w:kern w:val="0"/>
                <w:szCs w:val="21"/>
              </w:rPr>
              <w:t>土壤有机质含量</w:t>
            </w:r>
          </w:p>
        </w:tc>
      </w:tr>
      <w:tr w14:paraId="66FD5D27">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7B3109C5">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70A77A25">
            <w:pPr>
              <w:keepNext/>
              <w:keepLines/>
              <w:spacing w:before="340" w:after="330" w:line="578" w:lineRule="auto"/>
              <w:outlineLvl w:val="0"/>
              <w:rPr>
                <w:kern w:val="0"/>
                <w:szCs w:val="21"/>
              </w:rPr>
            </w:pPr>
          </w:p>
        </w:tc>
        <w:tc>
          <w:tcPr>
            <w:tcW w:w="2427" w:type="dxa"/>
            <w:vMerge w:val="continue"/>
            <w:tcBorders>
              <w:top w:val="nil"/>
              <w:left w:val="single" w:color="auto" w:sz="4" w:space="0"/>
              <w:bottom w:val="single" w:color="auto" w:sz="4" w:space="0"/>
              <w:right w:val="single" w:color="auto" w:sz="4" w:space="0"/>
            </w:tcBorders>
            <w:vAlign w:val="center"/>
          </w:tcPr>
          <w:p w14:paraId="774D7935">
            <w:pPr>
              <w:keepNext/>
              <w:keepLines/>
              <w:spacing w:before="340" w:after="330" w:line="578" w:lineRule="auto"/>
              <w:outlineLvl w:val="0"/>
              <w:rPr>
                <w:kern w:val="0"/>
                <w:szCs w:val="21"/>
              </w:rPr>
            </w:pPr>
          </w:p>
        </w:tc>
        <w:tc>
          <w:tcPr>
            <w:tcW w:w="2320" w:type="dxa"/>
            <w:tcBorders>
              <w:top w:val="nil"/>
              <w:left w:val="nil"/>
              <w:bottom w:val="single" w:color="auto" w:sz="4" w:space="0"/>
              <w:right w:val="single" w:color="auto" w:sz="4" w:space="0"/>
            </w:tcBorders>
            <w:vAlign w:val="center"/>
          </w:tcPr>
          <w:p w14:paraId="3386AE22">
            <w:pPr>
              <w:jc w:val="center"/>
              <w:rPr>
                <w:kern w:val="0"/>
                <w:szCs w:val="21"/>
              </w:rPr>
            </w:pPr>
            <w:r>
              <w:rPr>
                <w:kern w:val="0"/>
                <w:szCs w:val="21"/>
              </w:rPr>
              <w:t>土壤剖面构型</w:t>
            </w:r>
          </w:p>
        </w:tc>
      </w:tr>
      <w:tr w14:paraId="69D64F6A">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3BBB3598">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6FAA09D4">
            <w:pPr>
              <w:keepNext/>
              <w:keepLines/>
              <w:spacing w:before="340" w:after="330" w:line="578" w:lineRule="auto"/>
              <w:outlineLvl w:val="0"/>
              <w:rPr>
                <w:kern w:val="0"/>
                <w:szCs w:val="21"/>
              </w:rPr>
            </w:pPr>
          </w:p>
        </w:tc>
        <w:tc>
          <w:tcPr>
            <w:tcW w:w="2427" w:type="dxa"/>
            <w:vMerge w:val="continue"/>
            <w:tcBorders>
              <w:top w:val="nil"/>
              <w:left w:val="single" w:color="auto" w:sz="4" w:space="0"/>
              <w:bottom w:val="single" w:color="auto" w:sz="4" w:space="0"/>
              <w:right w:val="single" w:color="auto" w:sz="4" w:space="0"/>
            </w:tcBorders>
            <w:vAlign w:val="center"/>
          </w:tcPr>
          <w:p w14:paraId="276D9A36">
            <w:pPr>
              <w:keepNext/>
              <w:keepLines/>
              <w:spacing w:before="340" w:after="330" w:line="578" w:lineRule="auto"/>
              <w:outlineLvl w:val="0"/>
              <w:rPr>
                <w:kern w:val="0"/>
                <w:szCs w:val="21"/>
              </w:rPr>
            </w:pPr>
          </w:p>
        </w:tc>
        <w:tc>
          <w:tcPr>
            <w:tcW w:w="2320" w:type="dxa"/>
            <w:tcBorders>
              <w:top w:val="nil"/>
              <w:left w:val="nil"/>
              <w:bottom w:val="single" w:color="auto" w:sz="4" w:space="0"/>
              <w:right w:val="single" w:color="auto" w:sz="4" w:space="0"/>
            </w:tcBorders>
            <w:vAlign w:val="center"/>
          </w:tcPr>
          <w:p w14:paraId="4E89CD9A">
            <w:pPr>
              <w:jc w:val="center"/>
              <w:rPr>
                <w:kern w:val="0"/>
                <w:szCs w:val="21"/>
              </w:rPr>
            </w:pPr>
            <w:r>
              <w:rPr>
                <w:kern w:val="0"/>
                <w:szCs w:val="21"/>
              </w:rPr>
              <w:t>表层土壤质地</w:t>
            </w:r>
          </w:p>
        </w:tc>
      </w:tr>
      <w:tr w14:paraId="5F4630A1">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20008DE3">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69C9FFE4">
            <w:pPr>
              <w:keepNext/>
              <w:keepLines/>
              <w:spacing w:before="340" w:after="330" w:line="578" w:lineRule="auto"/>
              <w:outlineLvl w:val="0"/>
              <w:rPr>
                <w:kern w:val="0"/>
                <w:szCs w:val="21"/>
              </w:rPr>
            </w:pPr>
          </w:p>
        </w:tc>
        <w:tc>
          <w:tcPr>
            <w:tcW w:w="2427" w:type="dxa"/>
            <w:vMerge w:val="continue"/>
            <w:tcBorders>
              <w:top w:val="nil"/>
              <w:left w:val="single" w:color="auto" w:sz="4" w:space="0"/>
              <w:bottom w:val="single" w:color="auto" w:sz="4" w:space="0"/>
              <w:right w:val="single" w:color="auto" w:sz="4" w:space="0"/>
            </w:tcBorders>
            <w:vAlign w:val="center"/>
          </w:tcPr>
          <w:p w14:paraId="1AD81AE0">
            <w:pPr>
              <w:keepNext/>
              <w:keepLines/>
              <w:spacing w:before="340" w:after="330" w:line="578" w:lineRule="auto"/>
              <w:outlineLvl w:val="0"/>
              <w:rPr>
                <w:kern w:val="0"/>
                <w:szCs w:val="21"/>
              </w:rPr>
            </w:pPr>
          </w:p>
        </w:tc>
        <w:tc>
          <w:tcPr>
            <w:tcW w:w="2320" w:type="dxa"/>
            <w:tcBorders>
              <w:top w:val="nil"/>
              <w:left w:val="nil"/>
              <w:bottom w:val="single" w:color="auto" w:sz="4" w:space="0"/>
              <w:right w:val="single" w:color="auto" w:sz="4" w:space="0"/>
            </w:tcBorders>
            <w:vAlign w:val="center"/>
          </w:tcPr>
          <w:p w14:paraId="6FF53E6E">
            <w:pPr>
              <w:jc w:val="center"/>
              <w:rPr>
                <w:kern w:val="0"/>
                <w:szCs w:val="21"/>
              </w:rPr>
            </w:pPr>
            <w:r>
              <w:rPr>
                <w:kern w:val="0"/>
                <w:szCs w:val="21"/>
              </w:rPr>
              <w:t>土壤PH值</w:t>
            </w:r>
          </w:p>
        </w:tc>
      </w:tr>
      <w:tr w14:paraId="45CBB479">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55407D91">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2D2AACCC">
            <w:pPr>
              <w:keepNext/>
              <w:keepLines/>
              <w:spacing w:before="340" w:after="330" w:line="578" w:lineRule="auto"/>
              <w:outlineLvl w:val="0"/>
              <w:rPr>
                <w:kern w:val="0"/>
                <w:szCs w:val="21"/>
              </w:rPr>
            </w:pPr>
          </w:p>
        </w:tc>
        <w:tc>
          <w:tcPr>
            <w:tcW w:w="2427" w:type="dxa"/>
            <w:vMerge w:val="continue"/>
            <w:tcBorders>
              <w:top w:val="nil"/>
              <w:left w:val="single" w:color="auto" w:sz="4" w:space="0"/>
              <w:bottom w:val="single" w:color="auto" w:sz="4" w:space="0"/>
              <w:right w:val="single" w:color="auto" w:sz="4" w:space="0"/>
            </w:tcBorders>
            <w:vAlign w:val="center"/>
          </w:tcPr>
          <w:p w14:paraId="18E96D3C">
            <w:pPr>
              <w:keepNext/>
              <w:keepLines/>
              <w:spacing w:before="340" w:after="330" w:line="578" w:lineRule="auto"/>
              <w:outlineLvl w:val="0"/>
              <w:rPr>
                <w:kern w:val="0"/>
                <w:szCs w:val="21"/>
              </w:rPr>
            </w:pPr>
          </w:p>
        </w:tc>
        <w:tc>
          <w:tcPr>
            <w:tcW w:w="2320" w:type="dxa"/>
            <w:tcBorders>
              <w:top w:val="nil"/>
              <w:left w:val="nil"/>
              <w:bottom w:val="single" w:color="auto" w:sz="4" w:space="0"/>
              <w:right w:val="single" w:color="auto" w:sz="4" w:space="0"/>
            </w:tcBorders>
            <w:vAlign w:val="center"/>
          </w:tcPr>
          <w:p w14:paraId="7B5A259D">
            <w:pPr>
              <w:jc w:val="center"/>
              <w:rPr>
                <w:kern w:val="0"/>
                <w:szCs w:val="21"/>
              </w:rPr>
            </w:pPr>
            <w:r>
              <w:rPr>
                <w:kern w:val="0"/>
                <w:szCs w:val="21"/>
              </w:rPr>
              <w:t>障碍层深度</w:t>
            </w:r>
          </w:p>
        </w:tc>
      </w:tr>
      <w:tr w14:paraId="5FC0EDCA">
        <w:tblPrEx>
          <w:tblCellMar>
            <w:top w:w="0" w:type="dxa"/>
            <w:left w:w="108" w:type="dxa"/>
            <w:bottom w:w="0" w:type="dxa"/>
            <w:right w:w="108" w:type="dxa"/>
          </w:tblCellMar>
        </w:tblPrEx>
        <w:trPr>
          <w:trHeight w:val="63"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71255C14">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094FC2ED">
            <w:pPr>
              <w:keepNext/>
              <w:keepLines/>
              <w:spacing w:before="340" w:after="330" w:line="578" w:lineRule="auto"/>
              <w:outlineLvl w:val="0"/>
              <w:rPr>
                <w:kern w:val="0"/>
                <w:szCs w:val="21"/>
              </w:rPr>
            </w:pPr>
          </w:p>
        </w:tc>
        <w:tc>
          <w:tcPr>
            <w:tcW w:w="2427" w:type="dxa"/>
            <w:vMerge w:val="continue"/>
            <w:tcBorders>
              <w:top w:val="nil"/>
              <w:left w:val="single" w:color="auto" w:sz="4" w:space="0"/>
              <w:bottom w:val="single" w:color="auto" w:sz="4" w:space="0"/>
              <w:right w:val="single" w:color="auto" w:sz="4" w:space="0"/>
            </w:tcBorders>
            <w:vAlign w:val="center"/>
          </w:tcPr>
          <w:p w14:paraId="5F58C5D9">
            <w:pPr>
              <w:keepNext/>
              <w:keepLines/>
              <w:spacing w:before="340" w:after="330" w:line="578" w:lineRule="auto"/>
              <w:outlineLvl w:val="0"/>
              <w:rPr>
                <w:kern w:val="0"/>
                <w:szCs w:val="21"/>
              </w:rPr>
            </w:pPr>
          </w:p>
        </w:tc>
        <w:tc>
          <w:tcPr>
            <w:tcW w:w="2320" w:type="dxa"/>
            <w:tcBorders>
              <w:top w:val="single" w:color="auto" w:sz="4" w:space="0"/>
              <w:left w:val="nil"/>
              <w:bottom w:val="single" w:color="auto" w:sz="4" w:space="0"/>
              <w:right w:val="single" w:color="auto" w:sz="4" w:space="0"/>
            </w:tcBorders>
            <w:vAlign w:val="center"/>
          </w:tcPr>
          <w:p w14:paraId="0479EB66">
            <w:pPr>
              <w:jc w:val="center"/>
              <w:rPr>
                <w:kern w:val="0"/>
                <w:szCs w:val="21"/>
              </w:rPr>
            </w:pPr>
            <w:r>
              <w:rPr>
                <w:kern w:val="0"/>
                <w:szCs w:val="21"/>
              </w:rPr>
              <w:t>地下水埋深</w:t>
            </w:r>
          </w:p>
        </w:tc>
      </w:tr>
      <w:tr w14:paraId="5038C329">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6BE37A44">
            <w:pPr>
              <w:keepNext/>
              <w:keepLines/>
              <w:spacing w:before="340" w:after="330" w:line="578" w:lineRule="auto"/>
              <w:outlineLvl w:val="0"/>
              <w:rPr>
                <w:kern w:val="0"/>
                <w:szCs w:val="21"/>
              </w:rPr>
            </w:pPr>
          </w:p>
        </w:tc>
        <w:tc>
          <w:tcPr>
            <w:tcW w:w="1907" w:type="dxa"/>
            <w:vMerge w:val="restart"/>
            <w:tcBorders>
              <w:top w:val="nil"/>
              <w:left w:val="single" w:color="auto" w:sz="4" w:space="0"/>
              <w:bottom w:val="single" w:color="auto" w:sz="4" w:space="0"/>
              <w:right w:val="single" w:color="auto" w:sz="4" w:space="0"/>
            </w:tcBorders>
            <w:vAlign w:val="center"/>
          </w:tcPr>
          <w:p w14:paraId="6CB5A224">
            <w:pPr>
              <w:jc w:val="center"/>
              <w:rPr>
                <w:kern w:val="0"/>
                <w:szCs w:val="21"/>
              </w:rPr>
            </w:pPr>
            <w:r>
              <w:rPr>
                <w:kern w:val="0"/>
                <w:szCs w:val="21"/>
              </w:rPr>
              <w:t>区位经济</w:t>
            </w:r>
          </w:p>
        </w:tc>
        <w:tc>
          <w:tcPr>
            <w:tcW w:w="2427" w:type="dxa"/>
            <w:vMerge w:val="restart"/>
            <w:tcBorders>
              <w:top w:val="nil"/>
              <w:left w:val="single" w:color="auto" w:sz="4" w:space="0"/>
              <w:bottom w:val="single" w:color="auto" w:sz="4" w:space="0"/>
              <w:right w:val="single" w:color="auto" w:sz="4" w:space="0"/>
            </w:tcBorders>
            <w:vAlign w:val="center"/>
          </w:tcPr>
          <w:p w14:paraId="43118851">
            <w:pPr>
              <w:jc w:val="center"/>
              <w:rPr>
                <w:kern w:val="0"/>
                <w:szCs w:val="21"/>
              </w:rPr>
            </w:pPr>
            <w:r>
              <w:rPr>
                <w:kern w:val="0"/>
                <w:szCs w:val="21"/>
              </w:rPr>
              <w:t>区位交通条件</w:t>
            </w:r>
          </w:p>
        </w:tc>
        <w:tc>
          <w:tcPr>
            <w:tcW w:w="2320" w:type="dxa"/>
            <w:tcBorders>
              <w:top w:val="single" w:color="auto" w:sz="4" w:space="0"/>
              <w:left w:val="nil"/>
              <w:bottom w:val="single" w:color="auto" w:sz="4" w:space="0"/>
              <w:right w:val="single" w:color="auto" w:sz="4" w:space="0"/>
            </w:tcBorders>
            <w:vAlign w:val="center"/>
          </w:tcPr>
          <w:p w14:paraId="2A8D944B">
            <w:pPr>
              <w:jc w:val="center"/>
              <w:rPr>
                <w:kern w:val="0"/>
                <w:szCs w:val="21"/>
              </w:rPr>
            </w:pPr>
            <w:r>
              <w:rPr>
                <w:kern w:val="0"/>
                <w:szCs w:val="21"/>
              </w:rPr>
              <w:t>农贸市场影响度</w:t>
            </w:r>
          </w:p>
        </w:tc>
      </w:tr>
      <w:tr w14:paraId="4610452F">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58E0223C">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57EA6CC1">
            <w:pPr>
              <w:keepNext/>
              <w:keepLines/>
              <w:spacing w:before="340" w:after="330" w:line="578" w:lineRule="auto"/>
              <w:outlineLvl w:val="0"/>
              <w:rPr>
                <w:kern w:val="0"/>
                <w:szCs w:val="21"/>
              </w:rPr>
            </w:pPr>
          </w:p>
        </w:tc>
        <w:tc>
          <w:tcPr>
            <w:tcW w:w="2427" w:type="dxa"/>
            <w:vMerge w:val="continue"/>
            <w:tcBorders>
              <w:top w:val="nil"/>
              <w:left w:val="single" w:color="auto" w:sz="4" w:space="0"/>
              <w:bottom w:val="single" w:color="auto" w:sz="4" w:space="0"/>
              <w:right w:val="single" w:color="auto" w:sz="4" w:space="0"/>
            </w:tcBorders>
            <w:vAlign w:val="center"/>
          </w:tcPr>
          <w:p w14:paraId="6ED2FAC2">
            <w:pPr>
              <w:keepNext/>
              <w:keepLines/>
              <w:spacing w:before="340" w:after="330" w:line="578" w:lineRule="auto"/>
              <w:outlineLvl w:val="0"/>
              <w:rPr>
                <w:kern w:val="0"/>
                <w:szCs w:val="21"/>
              </w:rPr>
            </w:pPr>
          </w:p>
        </w:tc>
        <w:tc>
          <w:tcPr>
            <w:tcW w:w="2320" w:type="dxa"/>
            <w:tcBorders>
              <w:top w:val="nil"/>
              <w:left w:val="nil"/>
              <w:bottom w:val="single" w:color="auto" w:sz="4" w:space="0"/>
              <w:right w:val="single" w:color="auto" w:sz="4" w:space="0"/>
            </w:tcBorders>
            <w:vAlign w:val="center"/>
          </w:tcPr>
          <w:p w14:paraId="2A66DE1E">
            <w:pPr>
              <w:jc w:val="center"/>
              <w:rPr>
                <w:kern w:val="0"/>
                <w:szCs w:val="21"/>
              </w:rPr>
            </w:pPr>
            <w:r>
              <w:rPr>
                <w:kern w:val="0"/>
                <w:szCs w:val="21"/>
              </w:rPr>
              <w:t>道路通达度</w:t>
            </w:r>
          </w:p>
        </w:tc>
      </w:tr>
      <w:tr w14:paraId="61CC3437">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623D9906">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4DC9D90F">
            <w:pPr>
              <w:keepNext/>
              <w:keepLines/>
              <w:spacing w:before="340" w:after="330" w:line="578" w:lineRule="auto"/>
              <w:outlineLvl w:val="0"/>
              <w:rPr>
                <w:kern w:val="0"/>
                <w:szCs w:val="21"/>
              </w:rPr>
            </w:pPr>
          </w:p>
        </w:tc>
        <w:tc>
          <w:tcPr>
            <w:tcW w:w="2427" w:type="dxa"/>
            <w:vMerge w:val="restart"/>
            <w:tcBorders>
              <w:top w:val="nil"/>
              <w:left w:val="single" w:color="auto" w:sz="4" w:space="0"/>
              <w:bottom w:val="single" w:color="auto" w:sz="4" w:space="0"/>
              <w:right w:val="single" w:color="auto" w:sz="4" w:space="0"/>
            </w:tcBorders>
            <w:vAlign w:val="center"/>
          </w:tcPr>
          <w:p w14:paraId="0077A2BA">
            <w:pPr>
              <w:jc w:val="center"/>
              <w:rPr>
                <w:kern w:val="0"/>
                <w:szCs w:val="21"/>
              </w:rPr>
            </w:pPr>
            <w:r>
              <w:rPr>
                <w:kern w:val="0"/>
                <w:szCs w:val="21"/>
              </w:rPr>
              <w:t>基础设施条件</w:t>
            </w:r>
          </w:p>
        </w:tc>
        <w:tc>
          <w:tcPr>
            <w:tcW w:w="2320" w:type="dxa"/>
            <w:tcBorders>
              <w:top w:val="nil"/>
              <w:left w:val="nil"/>
              <w:bottom w:val="single" w:color="auto" w:sz="4" w:space="0"/>
              <w:right w:val="single" w:color="auto" w:sz="4" w:space="0"/>
            </w:tcBorders>
            <w:vAlign w:val="center"/>
          </w:tcPr>
          <w:p w14:paraId="6051B1A1">
            <w:pPr>
              <w:jc w:val="center"/>
              <w:rPr>
                <w:kern w:val="0"/>
                <w:szCs w:val="21"/>
              </w:rPr>
            </w:pPr>
            <w:r>
              <w:rPr>
                <w:kern w:val="0"/>
                <w:szCs w:val="21"/>
              </w:rPr>
              <w:t>排水条件</w:t>
            </w:r>
          </w:p>
        </w:tc>
      </w:tr>
      <w:tr w14:paraId="2B505F7C">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194AB2C2">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5177070E">
            <w:pPr>
              <w:keepNext/>
              <w:keepLines/>
              <w:spacing w:before="340" w:after="330" w:line="578" w:lineRule="auto"/>
              <w:outlineLvl w:val="0"/>
              <w:rPr>
                <w:kern w:val="0"/>
                <w:szCs w:val="21"/>
              </w:rPr>
            </w:pPr>
          </w:p>
        </w:tc>
        <w:tc>
          <w:tcPr>
            <w:tcW w:w="2427" w:type="dxa"/>
            <w:vMerge w:val="continue"/>
            <w:tcBorders>
              <w:top w:val="nil"/>
              <w:left w:val="single" w:color="auto" w:sz="4" w:space="0"/>
              <w:bottom w:val="single" w:color="auto" w:sz="4" w:space="0"/>
              <w:right w:val="single" w:color="auto" w:sz="4" w:space="0"/>
            </w:tcBorders>
            <w:vAlign w:val="center"/>
          </w:tcPr>
          <w:p w14:paraId="00F33EA4">
            <w:pPr>
              <w:keepNext/>
              <w:keepLines/>
              <w:spacing w:before="340" w:after="330" w:line="578" w:lineRule="auto"/>
              <w:outlineLvl w:val="0"/>
              <w:rPr>
                <w:kern w:val="0"/>
                <w:szCs w:val="21"/>
              </w:rPr>
            </w:pPr>
          </w:p>
        </w:tc>
        <w:tc>
          <w:tcPr>
            <w:tcW w:w="2320" w:type="dxa"/>
            <w:tcBorders>
              <w:top w:val="nil"/>
              <w:left w:val="nil"/>
              <w:bottom w:val="single" w:color="auto" w:sz="4" w:space="0"/>
              <w:right w:val="single" w:color="auto" w:sz="4" w:space="0"/>
            </w:tcBorders>
            <w:vAlign w:val="center"/>
          </w:tcPr>
          <w:p w14:paraId="6ADD9763">
            <w:pPr>
              <w:jc w:val="center"/>
              <w:rPr>
                <w:kern w:val="0"/>
                <w:szCs w:val="21"/>
              </w:rPr>
            </w:pPr>
            <w:r>
              <w:rPr>
                <w:kern w:val="0"/>
                <w:szCs w:val="21"/>
              </w:rPr>
              <w:t>灌溉保证率</w:t>
            </w:r>
          </w:p>
        </w:tc>
      </w:tr>
      <w:tr w14:paraId="1949DA19">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4F4D22A8">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5E2B6F58">
            <w:pPr>
              <w:keepNext/>
              <w:keepLines/>
              <w:spacing w:before="340" w:after="330" w:line="578" w:lineRule="auto"/>
              <w:outlineLvl w:val="0"/>
              <w:rPr>
                <w:kern w:val="0"/>
                <w:szCs w:val="21"/>
              </w:rPr>
            </w:pPr>
          </w:p>
        </w:tc>
        <w:tc>
          <w:tcPr>
            <w:tcW w:w="2427" w:type="dxa"/>
            <w:vMerge w:val="restart"/>
            <w:tcBorders>
              <w:top w:val="nil"/>
              <w:left w:val="single" w:color="auto" w:sz="4" w:space="0"/>
              <w:bottom w:val="single" w:color="000000" w:sz="4" w:space="0"/>
              <w:right w:val="single" w:color="auto" w:sz="4" w:space="0"/>
            </w:tcBorders>
            <w:vAlign w:val="center"/>
          </w:tcPr>
          <w:p w14:paraId="06B2D263">
            <w:pPr>
              <w:jc w:val="center"/>
              <w:rPr>
                <w:kern w:val="0"/>
                <w:szCs w:val="21"/>
              </w:rPr>
            </w:pPr>
            <w:r>
              <w:rPr>
                <w:kern w:val="0"/>
                <w:szCs w:val="21"/>
              </w:rPr>
              <w:t>农业经济状况</w:t>
            </w:r>
          </w:p>
        </w:tc>
        <w:tc>
          <w:tcPr>
            <w:tcW w:w="2320" w:type="dxa"/>
            <w:tcBorders>
              <w:top w:val="nil"/>
              <w:left w:val="nil"/>
              <w:bottom w:val="single" w:color="auto" w:sz="4" w:space="0"/>
              <w:right w:val="single" w:color="auto" w:sz="4" w:space="0"/>
            </w:tcBorders>
            <w:vAlign w:val="center"/>
          </w:tcPr>
          <w:p w14:paraId="7632E1F5">
            <w:pPr>
              <w:jc w:val="center"/>
              <w:rPr>
                <w:kern w:val="0"/>
                <w:szCs w:val="21"/>
              </w:rPr>
            </w:pPr>
            <w:r>
              <w:rPr>
                <w:kern w:val="0"/>
                <w:szCs w:val="21"/>
              </w:rPr>
              <w:t>亩均资金投入</w:t>
            </w:r>
          </w:p>
        </w:tc>
      </w:tr>
      <w:tr w14:paraId="43A92408">
        <w:tblPrEx>
          <w:tblCellMar>
            <w:top w:w="0" w:type="dxa"/>
            <w:left w:w="108" w:type="dxa"/>
            <w:bottom w:w="0" w:type="dxa"/>
            <w:right w:w="108" w:type="dxa"/>
          </w:tblCellMar>
        </w:tblPrEx>
        <w:trPr>
          <w:trHeight w:val="179" w:hRule="atLeast"/>
          <w:jc w:val="center"/>
        </w:trPr>
        <w:tc>
          <w:tcPr>
            <w:tcW w:w="1874" w:type="dxa"/>
            <w:vMerge w:val="continue"/>
            <w:tcBorders>
              <w:top w:val="nil"/>
              <w:left w:val="single" w:color="auto" w:sz="4" w:space="0"/>
              <w:bottom w:val="single" w:color="auto" w:sz="4" w:space="0"/>
              <w:right w:val="single" w:color="auto" w:sz="4" w:space="0"/>
            </w:tcBorders>
            <w:vAlign w:val="center"/>
          </w:tcPr>
          <w:p w14:paraId="17EED57D">
            <w:pPr>
              <w:keepNext/>
              <w:keepLines/>
              <w:spacing w:before="340" w:after="330" w:line="578" w:lineRule="auto"/>
              <w:outlineLvl w:val="0"/>
              <w:rPr>
                <w:kern w:val="0"/>
                <w:szCs w:val="21"/>
              </w:rPr>
            </w:pPr>
          </w:p>
        </w:tc>
        <w:tc>
          <w:tcPr>
            <w:tcW w:w="1907" w:type="dxa"/>
            <w:vMerge w:val="continue"/>
            <w:tcBorders>
              <w:top w:val="nil"/>
              <w:left w:val="single" w:color="auto" w:sz="4" w:space="0"/>
              <w:bottom w:val="single" w:color="auto" w:sz="4" w:space="0"/>
              <w:right w:val="single" w:color="auto" w:sz="4" w:space="0"/>
            </w:tcBorders>
            <w:vAlign w:val="center"/>
          </w:tcPr>
          <w:p w14:paraId="2E87DE93">
            <w:pPr>
              <w:keepNext/>
              <w:keepLines/>
              <w:spacing w:before="340" w:after="330" w:line="578" w:lineRule="auto"/>
              <w:outlineLvl w:val="0"/>
              <w:rPr>
                <w:kern w:val="0"/>
                <w:szCs w:val="21"/>
              </w:rPr>
            </w:pPr>
          </w:p>
        </w:tc>
        <w:tc>
          <w:tcPr>
            <w:tcW w:w="2427" w:type="dxa"/>
            <w:vMerge w:val="continue"/>
            <w:tcBorders>
              <w:top w:val="nil"/>
              <w:left w:val="single" w:color="auto" w:sz="4" w:space="0"/>
              <w:bottom w:val="single" w:color="000000" w:sz="4" w:space="0"/>
              <w:right w:val="single" w:color="auto" w:sz="4" w:space="0"/>
            </w:tcBorders>
            <w:vAlign w:val="center"/>
          </w:tcPr>
          <w:p w14:paraId="4C1DD357">
            <w:pPr>
              <w:keepNext/>
              <w:keepLines/>
              <w:spacing w:before="340" w:after="330" w:line="578" w:lineRule="auto"/>
              <w:outlineLvl w:val="0"/>
              <w:rPr>
                <w:kern w:val="0"/>
                <w:szCs w:val="21"/>
              </w:rPr>
            </w:pPr>
          </w:p>
        </w:tc>
        <w:tc>
          <w:tcPr>
            <w:tcW w:w="2320" w:type="dxa"/>
            <w:tcBorders>
              <w:top w:val="nil"/>
              <w:left w:val="nil"/>
              <w:bottom w:val="single" w:color="auto" w:sz="4" w:space="0"/>
              <w:right w:val="single" w:color="auto" w:sz="4" w:space="0"/>
            </w:tcBorders>
            <w:vAlign w:val="center"/>
          </w:tcPr>
          <w:p w14:paraId="7677B1F7">
            <w:pPr>
              <w:jc w:val="center"/>
              <w:rPr>
                <w:kern w:val="0"/>
                <w:szCs w:val="21"/>
              </w:rPr>
            </w:pPr>
            <w:r>
              <w:rPr>
                <w:kern w:val="0"/>
                <w:szCs w:val="21"/>
              </w:rPr>
              <w:t>亩均纯收益</w:t>
            </w:r>
          </w:p>
        </w:tc>
      </w:tr>
    </w:tbl>
    <w:p w14:paraId="02B98C15">
      <w:pPr>
        <w:pStyle w:val="180"/>
        <w:ind w:firstLine="480"/>
      </w:pPr>
      <w:r>
        <w:rPr>
          <w:rFonts w:hint="eastAsia"/>
        </w:rPr>
        <w:t>（3）</w:t>
      </w:r>
      <w:r>
        <w:t>国有农用地定级因素影响分析</w:t>
      </w:r>
    </w:p>
    <w:p w14:paraId="236F687D">
      <w:pPr>
        <w:spacing w:line="500" w:lineRule="exact"/>
        <w:ind w:firstLine="482"/>
        <w:rPr>
          <w:sz w:val="24"/>
        </w:rPr>
      </w:pPr>
      <w:r>
        <w:rPr>
          <w:sz w:val="24"/>
        </w:rPr>
        <w:t>本部分结合鄂州市的实际情况，对基本定级因素加以分析和阐述，为后续定级指标体系和权重、土地级别划分和基准地价评估奠定基础。</w:t>
      </w:r>
    </w:p>
    <w:p w14:paraId="37C1B58B">
      <w:pPr>
        <w:spacing w:line="500" w:lineRule="exact"/>
        <w:ind w:firstLine="482"/>
        <w:rPr>
          <w:sz w:val="24"/>
        </w:rPr>
      </w:pPr>
      <w:bookmarkStart w:id="91" w:name="_Toc532729862"/>
      <w:r>
        <w:rPr>
          <w:rFonts w:hint="eastAsia"/>
          <w:sz w:val="24"/>
        </w:rPr>
        <w:t>1）</w:t>
      </w:r>
      <w:r>
        <w:rPr>
          <w:sz w:val="24"/>
        </w:rPr>
        <w:t>自然因素</w:t>
      </w:r>
    </w:p>
    <w:p w14:paraId="3BE6E1AA">
      <w:pPr>
        <w:spacing w:line="500" w:lineRule="exact"/>
        <w:ind w:firstLine="482"/>
        <w:rPr>
          <w:sz w:val="24"/>
        </w:rPr>
      </w:pPr>
      <w:r>
        <w:rPr>
          <w:sz w:val="24"/>
        </w:rPr>
        <w:t>自然因素既包括土地自身的特性，也包括土地的自然环境，主要包括地形条件、土壤因素和水文条件等。</w:t>
      </w:r>
    </w:p>
    <w:p w14:paraId="79ED21DF">
      <w:pPr>
        <w:spacing w:line="500" w:lineRule="exact"/>
        <w:ind w:firstLine="482"/>
        <w:rPr>
          <w:sz w:val="24"/>
        </w:rPr>
      </w:pPr>
      <w:r>
        <w:rPr>
          <w:rFonts w:hint="eastAsia" w:ascii="宋体" w:hAnsi="宋体" w:cs="宋体"/>
          <w:sz w:val="24"/>
        </w:rPr>
        <w:t>①</w:t>
      </w:r>
      <w:r>
        <w:rPr>
          <w:sz w:val="24"/>
        </w:rPr>
        <w:t>地形条件。地形对地区水热条件的能量交换起重要作用，同时直接影响土壤的形成和植被的生长发育。坡度是地表单元陡缓的程度，坡度过大，不仅不利于农作物的耕作，还会影响土地肥力，导致土壤的保水保肥能力下降，影响农作物的生长。坡度越适宜，</w:t>
      </w:r>
      <w:r>
        <w:rPr>
          <w:rFonts w:ascii="宋体" w:hAnsi="宋体"/>
          <w:sz w:val="24"/>
        </w:rPr>
        <w:t>国有农用地</w:t>
      </w:r>
      <w:r>
        <w:rPr>
          <w:sz w:val="24"/>
        </w:rPr>
        <w:t>质量越好。因此，</w:t>
      </w:r>
      <w:r>
        <w:rPr>
          <w:rFonts w:hint="eastAsia"/>
          <w:sz w:val="24"/>
        </w:rPr>
        <w:t>地形</w:t>
      </w:r>
      <w:r>
        <w:rPr>
          <w:sz w:val="24"/>
        </w:rPr>
        <w:t>因素是土地评价基本因素之一。</w:t>
      </w:r>
    </w:p>
    <w:p w14:paraId="0F63A844">
      <w:pPr>
        <w:spacing w:line="500" w:lineRule="exact"/>
        <w:ind w:firstLine="482"/>
        <w:rPr>
          <w:sz w:val="24"/>
        </w:rPr>
      </w:pPr>
      <w:r>
        <w:rPr>
          <w:rFonts w:hint="eastAsia" w:ascii="宋体" w:hAnsi="宋体" w:cs="宋体"/>
          <w:sz w:val="24"/>
        </w:rPr>
        <w:t>②</w:t>
      </w:r>
      <w:r>
        <w:rPr>
          <w:sz w:val="24"/>
        </w:rPr>
        <w:t>土壤因素。由于土壤是植物根系活动的场所，同时它具有提供和调节植物生长发育所需要的水分、养分、空气、热量等其他生长条件的能力。因此它是土地生产力的最重要组成部分，也是土地评价的最基本因素。在土地评价中着重考虑土壤的发生类型、土层厚度、土壤质地、障碍层、有机质、氮、磷、钾等速效营养元素的含量以及水分、盐分、酸碱度等因素。土壤发生类型是土壤基本性质与肥力水平的反映，具有重要的意义。</w:t>
      </w:r>
    </w:p>
    <w:p w14:paraId="132FE005">
      <w:pPr>
        <w:spacing w:line="500" w:lineRule="exact"/>
        <w:ind w:firstLine="482"/>
        <w:rPr>
          <w:sz w:val="24"/>
        </w:rPr>
      </w:pPr>
      <w:r>
        <w:rPr>
          <w:sz w:val="24"/>
        </w:rPr>
        <w:t>土壤有机质含量指土壤中所含有的作物所需的各种养分。土壤养分是各类农作物生长的基础，可直接或间接地为农作物提供氮、磷、钾、钙等各种营养元素。同时，土壤有机质有助于改善土壤理化性质，影响和制约土壤结构形成及通气性、透气性、缓冲性、交换性和保水保肥性。</w:t>
      </w:r>
    </w:p>
    <w:p w14:paraId="6C724879">
      <w:pPr>
        <w:spacing w:line="500" w:lineRule="exact"/>
        <w:ind w:firstLine="482"/>
        <w:rPr>
          <w:sz w:val="24"/>
        </w:rPr>
      </w:pPr>
      <w:r>
        <w:rPr>
          <w:rFonts w:hint="eastAsia"/>
          <w:sz w:val="24"/>
        </w:rPr>
        <w:t>剖面构型是指土壤发生层或土壤层次（如冲击层次）的排列组合形式，是耕地质量重要影响因素。土壤剖面构型不仅反映土壤形成的内部与外部条件，还体现耕地土壤肥力状况和生产性能。</w:t>
      </w:r>
    </w:p>
    <w:p w14:paraId="674E62B5">
      <w:pPr>
        <w:spacing w:line="500" w:lineRule="exact"/>
        <w:ind w:firstLine="482"/>
        <w:rPr>
          <w:sz w:val="24"/>
        </w:rPr>
      </w:pPr>
      <w:r>
        <w:rPr>
          <w:sz w:val="24"/>
        </w:rPr>
        <w:t>土层厚度(土壤深度)指壤质(细)土层厚度，或指障碍土层以上的土层厚度。据研究，各种作物、林、草对土层厚度要求不同，在灌溉地区农业用地上层厚度要求在100厘米以上，主要根系活动层在50～60厘米。</w:t>
      </w:r>
    </w:p>
    <w:p w14:paraId="522D33EA">
      <w:pPr>
        <w:spacing w:line="500" w:lineRule="exact"/>
        <w:ind w:firstLine="482"/>
        <w:rPr>
          <w:sz w:val="24"/>
        </w:rPr>
      </w:pPr>
      <w:r>
        <w:rPr>
          <w:sz w:val="24"/>
        </w:rPr>
        <w:t>土壤质地是反映土壤物理特性的一个综合指标，它影响着植物根系的发育，水分、养分的吸收与贮存，甚至影响机耕效率。土壤质地一般用土壤中各粒级上粒含量的相对比例(%)表示。同时，土壤质地也根据不同机械组成所产生的特性来划分土壤类别的名称，如壤土、中壤土、砂壤土、砂土等。土壤质地与土壤通气、保肥、保水状况及耕作难易程度有密切关系。</w:t>
      </w:r>
    </w:p>
    <w:p w14:paraId="06570D8A">
      <w:pPr>
        <w:spacing w:line="500" w:lineRule="exact"/>
        <w:ind w:firstLine="482"/>
        <w:rPr>
          <w:sz w:val="24"/>
        </w:rPr>
      </w:pPr>
      <w:r>
        <w:rPr>
          <w:sz w:val="24"/>
        </w:rPr>
        <w:t>土壤肥力是指土壤对于植物水、肥、热、气的协调和供应能力，它不是单因素的作用，而是综合作用的结果。有机质是植物营养的源泉，因此有机质及氮、磷、钾等元素含量分级标准依地区而变动。</w:t>
      </w:r>
    </w:p>
    <w:p w14:paraId="6EC961E9">
      <w:pPr>
        <w:spacing w:line="500" w:lineRule="exact"/>
        <w:ind w:firstLine="482"/>
        <w:rPr>
          <w:sz w:val="24"/>
        </w:rPr>
      </w:pPr>
      <w:r>
        <w:rPr>
          <w:sz w:val="24"/>
        </w:rPr>
        <w:t>土壤酸碱度是影响土壤肥力与作物生长的一项重要因素。在一定的PH值范围内，适宜种植与土壤酸碱度相适应的作物和植物。土壤PH值为7时，适宜大多数作物生长。PH值大于7或小于7时，则土壤碱度或酸度随数值变大或变小而增高，土地对作物生长限制越来越大，生产力逐渐降低。</w:t>
      </w:r>
    </w:p>
    <w:p w14:paraId="7683A9F8">
      <w:pPr>
        <w:spacing w:line="500" w:lineRule="exact"/>
        <w:ind w:firstLine="482"/>
        <w:rPr>
          <w:sz w:val="24"/>
        </w:rPr>
      </w:pPr>
      <w:r>
        <w:rPr>
          <w:sz w:val="24"/>
        </w:rPr>
        <w:t>土壤障碍因子是指土体中妨碍植物正常生长发育的性质或形态特征，这些性质或形态特征可能是某类土壤或某个区域土壤所共有的，也可能是由气候条件、成土母质，或者是由人为耕作活动所引起，如施肥、灌水、连作、设施栽培等。障碍层深度越深，则代表种植条件越好。</w:t>
      </w:r>
    </w:p>
    <w:p w14:paraId="65437411">
      <w:pPr>
        <w:spacing w:line="500" w:lineRule="exact"/>
        <w:ind w:firstLine="482"/>
        <w:rPr>
          <w:sz w:val="24"/>
        </w:rPr>
      </w:pPr>
      <w:r>
        <w:rPr>
          <w:sz w:val="24"/>
        </w:rPr>
        <w:t>土壤的水分状况指水源保证率、沼泽化、潜育层深度及地下水埋藏深度等，也是土地评价的一个重要因素。</w:t>
      </w:r>
      <w:r>
        <w:rPr>
          <w:rFonts w:hint="eastAsia"/>
          <w:sz w:val="24"/>
        </w:rPr>
        <w:t>其中，</w:t>
      </w:r>
      <w:r>
        <w:rPr>
          <w:sz w:val="24"/>
        </w:rPr>
        <w:t>地下水埋深是指地下水水位到垂直地表的距离。作物生长季节田面有作物植被覆盖，棵间蒸发所占比重与土壤积盐的可能性均较小，而作物又需要地下水对根层进行补给，因此此时地下水需控制在较小的深度。</w:t>
      </w:r>
    </w:p>
    <w:p w14:paraId="067BEF8F">
      <w:pPr>
        <w:spacing w:line="500" w:lineRule="exact"/>
        <w:ind w:firstLine="480" w:firstLineChars="200"/>
        <w:rPr>
          <w:sz w:val="24"/>
        </w:rPr>
      </w:pPr>
      <w:r>
        <w:rPr>
          <w:rFonts w:hint="eastAsia" w:ascii="宋体" w:hAnsi="宋体" w:cs="宋体"/>
          <w:sz w:val="24"/>
        </w:rPr>
        <w:t>③</w:t>
      </w:r>
      <w:r>
        <w:rPr>
          <w:sz w:val="24"/>
        </w:rPr>
        <w:t>水文条件。水文条件一般指地表水和地下水状况。在干早、半干旱地区，主要是指水源的有无、种类、水量的大小、水质的优劣和利用的难易等方面；在盐碱化和沼泽化地区，则为灌溉、防洪、排水等条件。水文条件影响农业土地利用、农作物产量和农产品质量，如水质，据试验和观测资料，灌溉用水的矿化度应小于1.7克/升，矿化度大于5克/升的水，不宜用于灌溉，所以，水文条件同样影响着</w:t>
      </w:r>
      <w:r>
        <w:rPr>
          <w:rFonts w:ascii="宋体" w:hAnsi="宋体"/>
          <w:sz w:val="24"/>
        </w:rPr>
        <w:t>国有农用地</w:t>
      </w:r>
      <w:r>
        <w:rPr>
          <w:sz w:val="24"/>
        </w:rPr>
        <w:t>质量。</w:t>
      </w:r>
    </w:p>
    <w:p w14:paraId="1428ADDD">
      <w:pPr>
        <w:spacing w:line="500" w:lineRule="exact"/>
        <w:ind w:firstLine="480" w:firstLineChars="200"/>
        <w:rPr>
          <w:sz w:val="24"/>
        </w:rPr>
      </w:pPr>
      <w:r>
        <w:rPr>
          <w:sz w:val="24"/>
        </w:rPr>
        <w:t>2）</w:t>
      </w:r>
      <w:r>
        <w:rPr>
          <w:rFonts w:hint="eastAsia"/>
          <w:sz w:val="24"/>
        </w:rPr>
        <w:t>区位经济</w:t>
      </w:r>
      <w:r>
        <w:rPr>
          <w:sz w:val="24"/>
        </w:rPr>
        <w:t>因素</w:t>
      </w:r>
    </w:p>
    <w:p w14:paraId="3F1C5F9D">
      <w:pPr>
        <w:spacing w:line="500" w:lineRule="exact"/>
        <w:ind w:firstLine="480" w:firstLineChars="200"/>
        <w:rPr>
          <w:sz w:val="24"/>
        </w:rPr>
      </w:pPr>
      <w:r>
        <w:rPr>
          <w:rFonts w:hint="eastAsia" w:ascii="宋体" w:hAnsi="宋体" w:cs="宋体"/>
          <w:sz w:val="24"/>
          <w:lang w:eastAsia="ja-JP"/>
        </w:rPr>
        <w:t>①</w:t>
      </w:r>
      <w:r>
        <w:rPr>
          <w:sz w:val="24"/>
        </w:rPr>
        <w:t>社会经济因素包括土地利用集约度、土地经营效益、人口状况等。土地利用集约度主要指对土地投人的水平，包括种子投人、农药投入、肥料投人、机械投人、灌溉投入、劳动投入等。土地经营效益是土地利用效果的体现，主要由产量、产值或纯收益等指标来表示。人口状况主要体现人口与资源的关系.人口密度大，人均资源少，会直接影响到土地级别与地价水平。</w:t>
      </w:r>
    </w:p>
    <w:p w14:paraId="0FF5E7E4">
      <w:pPr>
        <w:spacing w:line="500" w:lineRule="exact"/>
        <w:ind w:firstLine="482"/>
        <w:rPr>
          <w:sz w:val="24"/>
        </w:rPr>
      </w:pPr>
      <w:r>
        <w:rPr>
          <w:rFonts w:hint="eastAsia" w:ascii="宋体" w:hAnsi="宋体" w:cs="宋体"/>
          <w:sz w:val="24"/>
          <w:lang w:eastAsia="ja-JP"/>
        </w:rPr>
        <w:t>②</w:t>
      </w:r>
      <w:r>
        <w:rPr>
          <w:sz w:val="24"/>
        </w:rPr>
        <w:t>区位因素主要指经济地理位置，包括地块距中心城镇的距离和交通条件。自然条件相同的两块土地距中心城镇近的地块土地级别高，距主要交通线近的土地级别高。一般说来，区位与交通条件好的农用土地，劳动工日和投人物质的运输费用要少，经济效益好，随着区位与交通条件变差，经济效益则逐渐降低。另外，区位条件的好坏，还决定着是否易于实行机械化作业。因此，测算农用土地纯收益时，区位与交通因素也必须考虑。</w:t>
      </w:r>
    </w:p>
    <w:p w14:paraId="09994B2E">
      <w:pPr>
        <w:pStyle w:val="4"/>
        <w:widowControl w:val="0"/>
        <w:tabs>
          <w:tab w:val="left" w:pos="720"/>
        </w:tabs>
        <w:spacing w:before="120" w:after="120" w:line="500" w:lineRule="exact"/>
        <w:ind w:left="826" w:hanging="826"/>
        <w:jc w:val="both"/>
        <w:rPr>
          <w:rFonts w:ascii="宋体" w:hAnsi="宋体"/>
          <w:sz w:val="24"/>
          <w:szCs w:val="24"/>
        </w:rPr>
      </w:pPr>
      <w:bookmarkStart w:id="92" w:name="_Toc535399910"/>
      <w:bookmarkStart w:id="93" w:name="_Toc47384601"/>
      <w:bookmarkStart w:id="94" w:name="_Toc534833333"/>
      <w:r>
        <w:rPr>
          <w:rFonts w:hint="eastAsia" w:ascii="宋体" w:hAnsi="宋体"/>
          <w:sz w:val="24"/>
          <w:szCs w:val="24"/>
        </w:rPr>
        <w:t>3</w:t>
      </w:r>
      <w:r>
        <w:rPr>
          <w:rFonts w:ascii="宋体" w:hAnsi="宋体"/>
          <w:sz w:val="24"/>
          <w:szCs w:val="24"/>
        </w:rPr>
        <w:t>.1.2国有农用地定级因素权重确定</w:t>
      </w:r>
      <w:bookmarkEnd w:id="91"/>
      <w:bookmarkEnd w:id="92"/>
      <w:bookmarkEnd w:id="93"/>
      <w:bookmarkEnd w:id="94"/>
    </w:p>
    <w:p w14:paraId="4DA228DA">
      <w:pPr>
        <w:pStyle w:val="180"/>
        <w:ind w:firstLine="480"/>
      </w:pPr>
      <w:r>
        <w:rPr>
          <w:rFonts w:hint="eastAsia"/>
        </w:rPr>
        <w:t>（1）</w:t>
      </w:r>
      <w:r>
        <w:t>方法介绍</w:t>
      </w:r>
    </w:p>
    <w:p w14:paraId="751D824A">
      <w:pPr>
        <w:spacing w:line="500" w:lineRule="exact"/>
        <w:ind w:firstLine="482"/>
        <w:rPr>
          <w:sz w:val="24"/>
        </w:rPr>
      </w:pPr>
      <w:r>
        <w:rPr>
          <w:sz w:val="24"/>
        </w:rPr>
        <w:t>本次鄂州市国有农用地定级的因素因子权重确定选用特尔菲测定法。</w:t>
      </w:r>
    </w:p>
    <w:p w14:paraId="25D9440D">
      <w:pPr>
        <w:spacing w:line="500" w:lineRule="exact"/>
        <w:ind w:firstLine="482"/>
        <w:rPr>
          <w:sz w:val="24"/>
        </w:rPr>
      </w:pPr>
      <w:r>
        <w:rPr>
          <w:sz w:val="24"/>
        </w:rPr>
        <w:t>专家征询一般分2-3轮进行。根据专家评估的结果进行数理统计分析，得出专家总体的评估结果的分布，求出均值和方差，将这些信息反馈给专家，并对专家进行再征询，专家重新评估时可根据前一次专家总体意见的倾向和分散程度（以均值和方差表示）来修改自己的意见，直到得到协调程度较高的评估结果为止。根据《农用地定级规程》（GB/T28405-2012）的要求，编制了鄂州市国有农用地定级因素权重打分意见征询表及填表说明。各位专家按鄂州市国有农用地定级因素权重调查的要求，运用特尔斐法对土地定级因素进行了权重打分。</w:t>
      </w:r>
    </w:p>
    <w:p w14:paraId="01A2413E">
      <w:pPr>
        <w:pStyle w:val="180"/>
        <w:ind w:firstLine="480"/>
      </w:pPr>
      <w:r>
        <w:rPr>
          <w:rFonts w:hint="eastAsia"/>
        </w:rPr>
        <w:t>（2）</w:t>
      </w:r>
      <w:r>
        <w:t>专家确定</w:t>
      </w:r>
    </w:p>
    <w:p w14:paraId="5659D871">
      <w:pPr>
        <w:spacing w:line="500" w:lineRule="exact"/>
        <w:ind w:firstLine="482"/>
        <w:rPr>
          <w:sz w:val="24"/>
        </w:rPr>
      </w:pPr>
      <w:r>
        <w:rPr>
          <w:sz w:val="24"/>
        </w:rPr>
        <w:t>定级因素涉及</w:t>
      </w:r>
      <w:bookmarkStart w:id="267" w:name="_GoBack"/>
      <w:bookmarkEnd w:id="267"/>
      <w:r>
        <w:rPr>
          <w:sz w:val="24"/>
        </w:rPr>
        <w:t>规划、国土、水利、环保、规划、交通等许多方面，因而专家选择必须具有代表性、广泛性。在确定鄂州市国有农用地定级因素因子时，共请了包括国土、农业、交通、商业、环保等方面的专家，既有管理工作者又有实际经验丰富的科研工作者，对本次定级因素的进行打分。</w:t>
      </w:r>
    </w:p>
    <w:p w14:paraId="7578F558">
      <w:pPr>
        <w:spacing w:line="500" w:lineRule="exact"/>
        <w:ind w:firstLine="482"/>
        <w:rPr>
          <w:sz w:val="24"/>
        </w:rPr>
      </w:pPr>
      <w:r>
        <w:rPr>
          <w:sz w:val="24"/>
        </w:rPr>
        <w:t>土地定级因素权重分值反映分级因素因子对城镇土地质量的影响程度。分值确定的原则为：</w:t>
      </w:r>
    </w:p>
    <w:p w14:paraId="3A301D94">
      <w:pPr>
        <w:spacing w:line="500" w:lineRule="exact"/>
        <w:ind w:firstLine="482"/>
        <w:rPr>
          <w:sz w:val="24"/>
        </w:rPr>
      </w:pPr>
      <w:r>
        <w:rPr>
          <w:rFonts w:hint="eastAsia" w:ascii="宋体" w:hAnsi="宋体"/>
          <w:sz w:val="24"/>
        </w:rPr>
        <w:t>①</w:t>
      </w:r>
      <w:r>
        <w:rPr>
          <w:sz w:val="24"/>
        </w:rPr>
        <w:t>分值与因素对土地质量影响的大小成正比，数值在0～100之间。</w:t>
      </w:r>
    </w:p>
    <w:p w14:paraId="59F60783">
      <w:pPr>
        <w:spacing w:line="500" w:lineRule="exact"/>
        <w:ind w:firstLine="482"/>
        <w:rPr>
          <w:sz w:val="24"/>
        </w:rPr>
      </w:pPr>
      <w:r>
        <w:rPr>
          <w:rFonts w:hint="eastAsia" w:ascii="宋体" w:hAnsi="宋体"/>
          <w:sz w:val="24"/>
        </w:rPr>
        <w:t>②</w:t>
      </w:r>
      <w:r>
        <w:rPr>
          <w:sz w:val="24"/>
        </w:rPr>
        <w:t>一级因素的分值之和为100。单个因素涉及的次级因素或因子分值在0～100之间，分数值之和为100。</w:t>
      </w:r>
    </w:p>
    <w:p w14:paraId="6D49A91B">
      <w:pPr>
        <w:pStyle w:val="180"/>
        <w:ind w:firstLine="480"/>
      </w:pPr>
      <w:r>
        <w:rPr>
          <w:rFonts w:hint="eastAsia" w:ascii="宋体" w:hAnsi="宋体"/>
        </w:rPr>
        <w:t>③</w:t>
      </w:r>
      <w:r>
        <w:t>计算过程</w:t>
      </w:r>
    </w:p>
    <w:p w14:paraId="64A489D2">
      <w:pPr>
        <w:spacing w:line="500" w:lineRule="exact"/>
        <w:ind w:firstLine="480" w:firstLineChars="200"/>
        <w:rPr>
          <w:sz w:val="24"/>
        </w:rPr>
      </w:pPr>
      <w:r>
        <w:rPr>
          <w:sz w:val="24"/>
        </w:rPr>
        <w:t>预试验：首先把前面确定的评价因子作为预试验征询内容分发给专家，同时提供特尔斐法的特点、实质，说明该次研究的目的、问卷应答要求和研究的背景材料。这次预试验要求专家将提供的各因子按对国有农用地土地定级评价的影响重要性程度进行排序。</w:t>
      </w:r>
    </w:p>
    <w:p w14:paraId="00097E83">
      <w:pPr>
        <w:spacing w:line="500" w:lineRule="exact"/>
        <w:ind w:firstLine="480" w:firstLineChars="200"/>
        <w:rPr>
          <w:sz w:val="24"/>
        </w:rPr>
      </w:pPr>
      <w:r>
        <w:rPr>
          <w:sz w:val="24"/>
        </w:rPr>
        <w:t>第一轮征询：将国有农用地的各因子分类，然后再把这些因素因子的权重确定征询表分发给专家，由专家用0-100的数字（即因子的权重）来表征各因子对不同类型用地级别的影响重要性程度。</w:t>
      </w:r>
    </w:p>
    <w:p w14:paraId="0803DBF4">
      <w:pPr>
        <w:spacing w:line="500" w:lineRule="exact"/>
        <w:ind w:firstLine="480" w:firstLineChars="200"/>
        <w:rPr>
          <w:sz w:val="24"/>
        </w:rPr>
      </w:pPr>
      <w:r>
        <w:rPr>
          <w:sz w:val="24"/>
        </w:rPr>
        <w:t>第二轮征询：对第一轮结果进行数据处理后，将专家对不同类型用地各因子评估的总体意见倾向和分散程度（用均值和方差表示）反馈给专家，要求专家根据第一轮征询的结果重新评估，同时阐明自己的理由，尤其对与平均程度差异较大的因子。</w:t>
      </w:r>
    </w:p>
    <w:p w14:paraId="70991D26">
      <w:pPr>
        <w:pStyle w:val="180"/>
        <w:ind w:firstLine="480"/>
      </w:pPr>
      <w:r>
        <w:rPr>
          <w:rFonts w:hint="eastAsia" w:ascii="宋体" w:hAnsi="宋体"/>
        </w:rPr>
        <w:t>④</w:t>
      </w:r>
      <w:r>
        <w:t>统计处理与结果</w:t>
      </w:r>
    </w:p>
    <w:p w14:paraId="2A62D4C8">
      <w:pPr>
        <w:spacing w:line="500" w:lineRule="exact"/>
        <w:ind w:firstLine="480" w:firstLineChars="200"/>
        <w:rPr>
          <w:sz w:val="24"/>
        </w:rPr>
      </w:pPr>
      <w:r>
        <w:rPr>
          <w:sz w:val="24"/>
        </w:rPr>
        <w:t>运用均值和方差计算法，对各位专家的打分进行结果计算。</w:t>
      </w:r>
    </w:p>
    <w:p w14:paraId="54828DB6">
      <w:pPr>
        <w:spacing w:line="500" w:lineRule="exact"/>
        <w:ind w:firstLine="480" w:firstLineChars="200"/>
        <w:rPr>
          <w:sz w:val="24"/>
        </w:rPr>
      </w:pPr>
      <w:r>
        <w:rPr>
          <w:sz w:val="24"/>
        </w:rPr>
        <w:t>计算均值公式：</w:t>
      </w:r>
    </w:p>
    <w:p w14:paraId="55F20D07">
      <w:pPr>
        <w:pStyle w:val="12"/>
        <w:adjustRightInd w:val="0"/>
        <w:snapToGrid w:val="0"/>
        <w:ind w:firstLine="482"/>
        <w:jc w:val="center"/>
        <w:rPr>
          <w:rFonts w:ascii="Times New Roman" w:hAnsi="Times New Roman" w:cs="Times New Roman"/>
          <w:sz w:val="24"/>
          <w:szCs w:val="24"/>
        </w:rPr>
      </w:pPr>
      <w:r>
        <w:rPr>
          <w:rFonts w:ascii="Times New Roman" w:hAnsi="Times New Roman" w:cs="Times New Roman"/>
          <w:position w:val="-28"/>
          <w:sz w:val="24"/>
          <w:szCs w:val="24"/>
        </w:rPr>
        <w:object>
          <v:shape id="_x0000_i1025" o:spt="75" type="#_x0000_t75" style="height:34.5pt;width:60pt;" o:ole="t" filled="f" o:preferrelative="t" stroked="f" coordsize="21600,21600">
            <v:path/>
            <v:fill on="f" focussize="0,0"/>
            <v:stroke on="f" joinstyle="miter"/>
            <v:imagedata r:id="rId12" o:title=""/>
            <o:lock v:ext="edit" aspectratio="t"/>
            <w10:wrap type="none"/>
            <w10:anchorlock/>
          </v:shape>
          <o:OLEObject Type="Embed" ProgID="Equation.3" ShapeID="_x0000_i1025" DrawAspect="Content" ObjectID="_1468075725" r:id="rId11">
            <o:LockedField>false</o:LockedField>
          </o:OLEObject>
        </w:object>
      </w:r>
    </w:p>
    <w:p w14:paraId="04BE2F1F">
      <w:pPr>
        <w:ind w:firstLine="480" w:firstLineChars="200"/>
        <w:rPr>
          <w:sz w:val="24"/>
        </w:rPr>
      </w:pPr>
      <w:r>
        <w:rPr>
          <w:sz w:val="24"/>
        </w:rPr>
        <w:t>计算方差公式：</w:t>
      </w:r>
    </w:p>
    <w:p w14:paraId="696C8EB0">
      <w:pPr>
        <w:pStyle w:val="12"/>
        <w:adjustRightInd w:val="0"/>
        <w:snapToGrid w:val="0"/>
        <w:ind w:firstLine="482"/>
        <w:jc w:val="center"/>
        <w:rPr>
          <w:rFonts w:ascii="Times New Roman" w:hAnsi="Times New Roman" w:cs="Times New Roman"/>
          <w:position w:val="-28"/>
          <w:sz w:val="24"/>
          <w:szCs w:val="24"/>
        </w:rPr>
      </w:pPr>
      <w:r>
        <w:rPr>
          <w:rFonts w:ascii="Times New Roman" w:hAnsi="Times New Roman" w:cs="Times New Roman"/>
          <w:position w:val="-28"/>
          <w:sz w:val="24"/>
          <w:szCs w:val="24"/>
        </w:rPr>
        <w:object>
          <v:shape id="_x0000_i1026" o:spt="75" type="#_x0000_t75" style="height:34.5pt;width:112.5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p>
    <w:p w14:paraId="2D3A1CE6">
      <w:pPr>
        <w:spacing w:line="500" w:lineRule="exact"/>
        <w:ind w:firstLine="480" w:firstLineChars="200"/>
        <w:rPr>
          <w:sz w:val="24"/>
        </w:rPr>
      </w:pPr>
      <w:r>
        <w:rPr>
          <w:sz w:val="24"/>
        </w:rPr>
        <w:t>上两式中：m—专家总人数；ai—第i位专家的评分值；</w:t>
      </w:r>
    </w:p>
    <w:p w14:paraId="0C7C6842">
      <w:pPr>
        <w:pStyle w:val="12"/>
        <w:spacing w:line="500" w:lineRule="exact"/>
        <w:ind w:firstLine="480"/>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59264" behindDoc="0" locked="0" layoutInCell="1" allowOverlap="1">
            <wp:simplePos x="0" y="0"/>
            <wp:positionH relativeFrom="column">
              <wp:posOffset>1990725</wp:posOffset>
            </wp:positionH>
            <wp:positionV relativeFrom="paragraph">
              <wp:posOffset>114300</wp:posOffset>
            </wp:positionV>
            <wp:extent cx="215900" cy="203200"/>
            <wp:effectExtent l="0" t="0" r="0" b="635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15900" cy="203200"/>
                    </a:xfrm>
                    <a:prstGeom prst="rect">
                      <a:avLst/>
                    </a:prstGeom>
                    <a:noFill/>
                  </pic:spPr>
                </pic:pic>
              </a:graphicData>
            </a:graphic>
          </wp:anchor>
        </w:drawing>
      </w:r>
      <w:r>
        <w:rPr>
          <w:rFonts w:ascii="Times New Roman" w:hAnsi="Times New Roman" w:cs="Times New Roman"/>
          <w:sz w:val="24"/>
          <w:szCs w:val="24"/>
        </w:rPr>
        <w:t xml:space="preserve">          E—均值；     —方差。</w:t>
      </w:r>
    </w:p>
    <w:p w14:paraId="3FACAC6F">
      <w:pPr>
        <w:spacing w:line="500" w:lineRule="exact"/>
        <w:ind w:firstLine="482"/>
        <w:rPr>
          <w:b/>
          <w:color w:val="000000"/>
          <w:szCs w:val="21"/>
        </w:rPr>
      </w:pPr>
      <w:r>
        <w:rPr>
          <w:sz w:val="24"/>
        </w:rPr>
        <w:t>根据收回的专家权重打分表格，利用公式计算定级因素权重，经过第一轮专家打分，分析各个定级因素的权重，发现有较多的分值标准差在2倍方差之内；通过计算并把结果重新反馈给打分专家进行第二轮打分，此时总体意见趋于一致，标准差都在2倍方差以外，标准差都很小，反应了各位专家的意见比较集中，打分效果很好。最终确定的国有农用地定级因素的权重</w:t>
      </w:r>
      <w:r>
        <w:rPr>
          <w:rFonts w:hint="eastAsia"/>
          <w:sz w:val="24"/>
        </w:rPr>
        <w:t>见</w:t>
      </w:r>
      <w:r>
        <w:rPr>
          <w:sz w:val="24"/>
        </w:rPr>
        <w:t>表</w:t>
      </w:r>
      <w:r>
        <w:rPr>
          <w:rFonts w:hint="eastAsia"/>
          <w:sz w:val="24"/>
        </w:rPr>
        <w:t>3</w:t>
      </w:r>
      <w:r>
        <w:rPr>
          <w:sz w:val="24"/>
        </w:rPr>
        <w:t>-2。</w:t>
      </w:r>
    </w:p>
    <w:p w14:paraId="082BA90A">
      <w:pPr>
        <w:spacing w:line="500" w:lineRule="exact"/>
        <w:ind w:firstLine="482"/>
        <w:jc w:val="center"/>
        <w:rPr>
          <w:b/>
          <w:color w:val="000000"/>
          <w:szCs w:val="21"/>
        </w:rPr>
      </w:pPr>
      <w:r>
        <w:rPr>
          <w:b/>
          <w:color w:val="000000"/>
          <w:szCs w:val="21"/>
        </w:rPr>
        <w:t>表3-2 国有农用地定级指标体系和权重</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983"/>
        <w:gridCol w:w="1508"/>
        <w:gridCol w:w="1221"/>
        <w:gridCol w:w="1815"/>
        <w:gridCol w:w="1071"/>
      </w:tblGrid>
      <w:tr w14:paraId="6A0A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Align w:val="center"/>
          </w:tcPr>
          <w:p w14:paraId="7314BBAD">
            <w:pPr>
              <w:jc w:val="center"/>
              <w:rPr>
                <w:b/>
                <w:kern w:val="0"/>
                <w:szCs w:val="21"/>
              </w:rPr>
            </w:pPr>
            <w:r>
              <w:rPr>
                <w:b/>
                <w:kern w:val="0"/>
                <w:szCs w:val="21"/>
              </w:rPr>
              <w:t>一级因素</w:t>
            </w:r>
          </w:p>
        </w:tc>
        <w:tc>
          <w:tcPr>
            <w:tcW w:w="983" w:type="dxa"/>
            <w:vAlign w:val="center"/>
          </w:tcPr>
          <w:p w14:paraId="3E591569">
            <w:pPr>
              <w:jc w:val="center"/>
              <w:rPr>
                <w:b/>
                <w:kern w:val="0"/>
                <w:szCs w:val="21"/>
              </w:rPr>
            </w:pPr>
            <w:r>
              <w:rPr>
                <w:b/>
                <w:kern w:val="0"/>
                <w:szCs w:val="21"/>
              </w:rPr>
              <w:t>权重</w:t>
            </w:r>
          </w:p>
        </w:tc>
        <w:tc>
          <w:tcPr>
            <w:tcW w:w="1508" w:type="dxa"/>
            <w:vAlign w:val="center"/>
          </w:tcPr>
          <w:p w14:paraId="1315D2A6">
            <w:pPr>
              <w:jc w:val="center"/>
              <w:rPr>
                <w:b/>
                <w:kern w:val="0"/>
                <w:szCs w:val="21"/>
              </w:rPr>
            </w:pPr>
            <w:r>
              <w:rPr>
                <w:b/>
                <w:kern w:val="0"/>
                <w:szCs w:val="21"/>
              </w:rPr>
              <w:t>二级因素</w:t>
            </w:r>
          </w:p>
        </w:tc>
        <w:tc>
          <w:tcPr>
            <w:tcW w:w="1221" w:type="dxa"/>
            <w:vAlign w:val="center"/>
          </w:tcPr>
          <w:p w14:paraId="26FE8493">
            <w:pPr>
              <w:jc w:val="center"/>
              <w:rPr>
                <w:b/>
                <w:kern w:val="0"/>
                <w:szCs w:val="21"/>
              </w:rPr>
            </w:pPr>
            <w:r>
              <w:rPr>
                <w:b/>
                <w:kern w:val="0"/>
                <w:szCs w:val="21"/>
              </w:rPr>
              <w:t>权重</w:t>
            </w:r>
          </w:p>
        </w:tc>
        <w:tc>
          <w:tcPr>
            <w:tcW w:w="1815" w:type="dxa"/>
            <w:vAlign w:val="center"/>
          </w:tcPr>
          <w:p w14:paraId="72A1C6D5">
            <w:pPr>
              <w:jc w:val="center"/>
              <w:rPr>
                <w:b/>
                <w:kern w:val="0"/>
                <w:szCs w:val="21"/>
              </w:rPr>
            </w:pPr>
            <w:r>
              <w:rPr>
                <w:b/>
                <w:kern w:val="0"/>
                <w:szCs w:val="21"/>
              </w:rPr>
              <w:t>因子</w:t>
            </w:r>
          </w:p>
        </w:tc>
        <w:tc>
          <w:tcPr>
            <w:tcW w:w="1071" w:type="dxa"/>
            <w:vAlign w:val="center"/>
          </w:tcPr>
          <w:p w14:paraId="49B27B8A">
            <w:pPr>
              <w:jc w:val="center"/>
              <w:rPr>
                <w:b/>
                <w:kern w:val="0"/>
                <w:szCs w:val="21"/>
              </w:rPr>
            </w:pPr>
            <w:r>
              <w:rPr>
                <w:b/>
                <w:kern w:val="0"/>
                <w:szCs w:val="21"/>
              </w:rPr>
              <w:t>权重</w:t>
            </w:r>
          </w:p>
        </w:tc>
      </w:tr>
      <w:tr w14:paraId="1B1B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restart"/>
            <w:vAlign w:val="center"/>
          </w:tcPr>
          <w:p w14:paraId="70A9C672">
            <w:pPr>
              <w:jc w:val="center"/>
              <w:rPr>
                <w:kern w:val="0"/>
                <w:szCs w:val="21"/>
              </w:rPr>
            </w:pPr>
            <w:r>
              <w:rPr>
                <w:kern w:val="0"/>
                <w:szCs w:val="21"/>
              </w:rPr>
              <w:t>自然质量</w:t>
            </w:r>
          </w:p>
        </w:tc>
        <w:tc>
          <w:tcPr>
            <w:tcW w:w="983" w:type="dxa"/>
            <w:vMerge w:val="restart"/>
            <w:vAlign w:val="center"/>
          </w:tcPr>
          <w:p w14:paraId="77B9295C">
            <w:pPr>
              <w:jc w:val="center"/>
              <w:rPr>
                <w:rFonts w:eastAsia="仿宋_GB2312"/>
                <w:kern w:val="0"/>
                <w:szCs w:val="21"/>
              </w:rPr>
            </w:pPr>
            <w:r>
              <w:rPr>
                <w:rFonts w:eastAsia="仿宋_GB2312"/>
                <w:kern w:val="0"/>
                <w:szCs w:val="21"/>
              </w:rPr>
              <w:t>0.6</w:t>
            </w:r>
          </w:p>
        </w:tc>
        <w:tc>
          <w:tcPr>
            <w:tcW w:w="1508" w:type="dxa"/>
            <w:vAlign w:val="center"/>
          </w:tcPr>
          <w:p w14:paraId="7E9D1AFE">
            <w:pPr>
              <w:jc w:val="center"/>
              <w:rPr>
                <w:kern w:val="0"/>
                <w:szCs w:val="21"/>
              </w:rPr>
            </w:pPr>
            <w:r>
              <w:rPr>
                <w:kern w:val="0"/>
                <w:szCs w:val="21"/>
              </w:rPr>
              <w:t>地形条件</w:t>
            </w:r>
          </w:p>
        </w:tc>
        <w:tc>
          <w:tcPr>
            <w:tcW w:w="1221" w:type="dxa"/>
            <w:vAlign w:val="center"/>
          </w:tcPr>
          <w:p w14:paraId="565566EB">
            <w:pPr>
              <w:jc w:val="center"/>
              <w:rPr>
                <w:rFonts w:eastAsia="仿宋_GB2312"/>
                <w:kern w:val="0"/>
                <w:szCs w:val="21"/>
              </w:rPr>
            </w:pPr>
            <w:r>
              <w:rPr>
                <w:rFonts w:eastAsia="仿宋_GB2312"/>
                <w:kern w:val="0"/>
                <w:szCs w:val="21"/>
              </w:rPr>
              <w:t>0.05</w:t>
            </w:r>
          </w:p>
        </w:tc>
        <w:tc>
          <w:tcPr>
            <w:tcW w:w="1815" w:type="dxa"/>
            <w:vAlign w:val="center"/>
          </w:tcPr>
          <w:p w14:paraId="526CFD7C">
            <w:pPr>
              <w:jc w:val="center"/>
              <w:rPr>
                <w:kern w:val="0"/>
                <w:szCs w:val="21"/>
              </w:rPr>
            </w:pPr>
            <w:r>
              <w:rPr>
                <w:kern w:val="0"/>
                <w:szCs w:val="21"/>
              </w:rPr>
              <w:t>地形坡度</w:t>
            </w:r>
          </w:p>
        </w:tc>
        <w:tc>
          <w:tcPr>
            <w:tcW w:w="1071" w:type="dxa"/>
            <w:vAlign w:val="center"/>
          </w:tcPr>
          <w:p w14:paraId="6DFD95A8">
            <w:pPr>
              <w:jc w:val="center"/>
              <w:rPr>
                <w:rFonts w:eastAsia="仿宋_GB2312"/>
                <w:kern w:val="0"/>
                <w:szCs w:val="21"/>
              </w:rPr>
            </w:pPr>
            <w:r>
              <w:rPr>
                <w:rFonts w:eastAsia="仿宋_GB2312"/>
                <w:kern w:val="0"/>
                <w:szCs w:val="21"/>
              </w:rPr>
              <w:t>0.0500</w:t>
            </w:r>
          </w:p>
        </w:tc>
      </w:tr>
      <w:tr w14:paraId="64DE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0349B5E5">
            <w:pPr>
              <w:ind w:firstLine="420"/>
              <w:jc w:val="center"/>
              <w:rPr>
                <w:kern w:val="0"/>
                <w:szCs w:val="21"/>
              </w:rPr>
            </w:pPr>
          </w:p>
        </w:tc>
        <w:tc>
          <w:tcPr>
            <w:tcW w:w="983" w:type="dxa"/>
            <w:vMerge w:val="continue"/>
            <w:vAlign w:val="center"/>
          </w:tcPr>
          <w:p w14:paraId="2C7090ED">
            <w:pPr>
              <w:ind w:firstLine="420"/>
              <w:jc w:val="center"/>
              <w:rPr>
                <w:rFonts w:eastAsia="仿宋_GB2312"/>
                <w:kern w:val="0"/>
                <w:szCs w:val="21"/>
              </w:rPr>
            </w:pPr>
          </w:p>
        </w:tc>
        <w:tc>
          <w:tcPr>
            <w:tcW w:w="1508" w:type="dxa"/>
            <w:vMerge w:val="restart"/>
            <w:vAlign w:val="center"/>
          </w:tcPr>
          <w:p w14:paraId="52DB9A0C">
            <w:pPr>
              <w:jc w:val="center"/>
              <w:rPr>
                <w:kern w:val="0"/>
                <w:szCs w:val="21"/>
              </w:rPr>
            </w:pPr>
            <w:r>
              <w:rPr>
                <w:kern w:val="0"/>
                <w:szCs w:val="21"/>
              </w:rPr>
              <w:t>土壤条件</w:t>
            </w:r>
          </w:p>
        </w:tc>
        <w:tc>
          <w:tcPr>
            <w:tcW w:w="1221" w:type="dxa"/>
            <w:vMerge w:val="restart"/>
            <w:vAlign w:val="center"/>
          </w:tcPr>
          <w:p w14:paraId="209F4AE0">
            <w:pPr>
              <w:jc w:val="center"/>
              <w:rPr>
                <w:rFonts w:eastAsia="仿宋_GB2312"/>
                <w:kern w:val="0"/>
                <w:szCs w:val="21"/>
              </w:rPr>
            </w:pPr>
            <w:r>
              <w:rPr>
                <w:rFonts w:eastAsia="仿宋_GB2312"/>
                <w:kern w:val="0"/>
                <w:szCs w:val="21"/>
              </w:rPr>
              <w:t>0.55</w:t>
            </w:r>
          </w:p>
        </w:tc>
        <w:tc>
          <w:tcPr>
            <w:tcW w:w="1815" w:type="dxa"/>
            <w:vAlign w:val="center"/>
          </w:tcPr>
          <w:p w14:paraId="2B04A3D6">
            <w:pPr>
              <w:jc w:val="center"/>
              <w:rPr>
                <w:kern w:val="0"/>
                <w:szCs w:val="21"/>
              </w:rPr>
            </w:pPr>
            <w:r>
              <w:rPr>
                <w:kern w:val="0"/>
                <w:szCs w:val="21"/>
              </w:rPr>
              <w:t>土壤有机质含量</w:t>
            </w:r>
          </w:p>
        </w:tc>
        <w:tc>
          <w:tcPr>
            <w:tcW w:w="1071" w:type="dxa"/>
            <w:vAlign w:val="center"/>
          </w:tcPr>
          <w:p w14:paraId="34D8C490">
            <w:pPr>
              <w:jc w:val="center"/>
              <w:rPr>
                <w:rFonts w:eastAsia="仿宋_GB2312"/>
                <w:kern w:val="0"/>
                <w:szCs w:val="21"/>
              </w:rPr>
            </w:pPr>
            <w:r>
              <w:rPr>
                <w:rFonts w:eastAsia="仿宋_GB2312"/>
                <w:kern w:val="0"/>
                <w:szCs w:val="21"/>
              </w:rPr>
              <w:t>0.1540</w:t>
            </w:r>
          </w:p>
        </w:tc>
      </w:tr>
      <w:tr w14:paraId="3031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328E3E77">
            <w:pPr>
              <w:ind w:firstLine="420"/>
              <w:jc w:val="center"/>
              <w:rPr>
                <w:kern w:val="0"/>
                <w:szCs w:val="21"/>
              </w:rPr>
            </w:pPr>
          </w:p>
        </w:tc>
        <w:tc>
          <w:tcPr>
            <w:tcW w:w="983" w:type="dxa"/>
            <w:vMerge w:val="continue"/>
            <w:vAlign w:val="center"/>
          </w:tcPr>
          <w:p w14:paraId="6B22442B">
            <w:pPr>
              <w:ind w:firstLine="420"/>
              <w:jc w:val="center"/>
              <w:rPr>
                <w:rFonts w:eastAsia="仿宋_GB2312"/>
                <w:kern w:val="0"/>
                <w:szCs w:val="21"/>
              </w:rPr>
            </w:pPr>
          </w:p>
        </w:tc>
        <w:tc>
          <w:tcPr>
            <w:tcW w:w="1508" w:type="dxa"/>
            <w:vMerge w:val="continue"/>
            <w:vAlign w:val="center"/>
          </w:tcPr>
          <w:p w14:paraId="19F89555">
            <w:pPr>
              <w:ind w:firstLine="420"/>
              <w:jc w:val="center"/>
              <w:rPr>
                <w:kern w:val="0"/>
                <w:szCs w:val="21"/>
              </w:rPr>
            </w:pPr>
          </w:p>
        </w:tc>
        <w:tc>
          <w:tcPr>
            <w:tcW w:w="1221" w:type="dxa"/>
            <w:vMerge w:val="continue"/>
            <w:vAlign w:val="center"/>
          </w:tcPr>
          <w:p w14:paraId="03BD951F">
            <w:pPr>
              <w:ind w:firstLine="420"/>
              <w:jc w:val="center"/>
              <w:rPr>
                <w:rFonts w:eastAsia="仿宋_GB2312"/>
                <w:kern w:val="0"/>
                <w:szCs w:val="21"/>
              </w:rPr>
            </w:pPr>
          </w:p>
        </w:tc>
        <w:tc>
          <w:tcPr>
            <w:tcW w:w="1815" w:type="dxa"/>
            <w:vAlign w:val="center"/>
          </w:tcPr>
          <w:p w14:paraId="4B9D5F5B">
            <w:pPr>
              <w:jc w:val="center"/>
              <w:rPr>
                <w:kern w:val="0"/>
                <w:szCs w:val="21"/>
              </w:rPr>
            </w:pPr>
            <w:r>
              <w:rPr>
                <w:kern w:val="0"/>
                <w:szCs w:val="21"/>
              </w:rPr>
              <w:t>土壤剖面构型</w:t>
            </w:r>
          </w:p>
        </w:tc>
        <w:tc>
          <w:tcPr>
            <w:tcW w:w="1071" w:type="dxa"/>
            <w:vAlign w:val="center"/>
          </w:tcPr>
          <w:p w14:paraId="2265E400">
            <w:pPr>
              <w:jc w:val="center"/>
              <w:rPr>
                <w:rFonts w:eastAsia="仿宋_GB2312"/>
                <w:kern w:val="0"/>
                <w:szCs w:val="21"/>
              </w:rPr>
            </w:pPr>
            <w:r>
              <w:rPr>
                <w:rFonts w:eastAsia="仿宋_GB2312"/>
                <w:kern w:val="0"/>
                <w:szCs w:val="21"/>
              </w:rPr>
              <w:t>0.1210</w:t>
            </w:r>
          </w:p>
        </w:tc>
      </w:tr>
      <w:tr w14:paraId="5713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4D8FD864">
            <w:pPr>
              <w:ind w:firstLine="420"/>
              <w:jc w:val="center"/>
              <w:rPr>
                <w:kern w:val="0"/>
                <w:szCs w:val="21"/>
              </w:rPr>
            </w:pPr>
          </w:p>
        </w:tc>
        <w:tc>
          <w:tcPr>
            <w:tcW w:w="983" w:type="dxa"/>
            <w:vMerge w:val="continue"/>
            <w:vAlign w:val="center"/>
          </w:tcPr>
          <w:p w14:paraId="6277DD3F">
            <w:pPr>
              <w:ind w:firstLine="420"/>
              <w:jc w:val="center"/>
              <w:rPr>
                <w:rFonts w:eastAsia="仿宋_GB2312"/>
                <w:kern w:val="0"/>
                <w:szCs w:val="21"/>
              </w:rPr>
            </w:pPr>
          </w:p>
        </w:tc>
        <w:tc>
          <w:tcPr>
            <w:tcW w:w="1508" w:type="dxa"/>
            <w:vMerge w:val="continue"/>
            <w:vAlign w:val="center"/>
          </w:tcPr>
          <w:p w14:paraId="401D14E9">
            <w:pPr>
              <w:ind w:firstLine="420"/>
              <w:jc w:val="center"/>
              <w:rPr>
                <w:kern w:val="0"/>
                <w:szCs w:val="21"/>
              </w:rPr>
            </w:pPr>
          </w:p>
        </w:tc>
        <w:tc>
          <w:tcPr>
            <w:tcW w:w="1221" w:type="dxa"/>
            <w:vMerge w:val="continue"/>
            <w:vAlign w:val="center"/>
          </w:tcPr>
          <w:p w14:paraId="74230E79">
            <w:pPr>
              <w:ind w:firstLine="420"/>
              <w:jc w:val="center"/>
              <w:rPr>
                <w:rFonts w:eastAsia="仿宋_GB2312"/>
                <w:kern w:val="0"/>
                <w:szCs w:val="21"/>
              </w:rPr>
            </w:pPr>
          </w:p>
        </w:tc>
        <w:tc>
          <w:tcPr>
            <w:tcW w:w="1815" w:type="dxa"/>
            <w:vAlign w:val="center"/>
          </w:tcPr>
          <w:p w14:paraId="4F969287">
            <w:pPr>
              <w:jc w:val="center"/>
              <w:rPr>
                <w:kern w:val="0"/>
                <w:szCs w:val="21"/>
              </w:rPr>
            </w:pPr>
            <w:r>
              <w:rPr>
                <w:kern w:val="0"/>
                <w:szCs w:val="21"/>
              </w:rPr>
              <w:t>表层土壤质地</w:t>
            </w:r>
          </w:p>
        </w:tc>
        <w:tc>
          <w:tcPr>
            <w:tcW w:w="1071" w:type="dxa"/>
            <w:vAlign w:val="center"/>
          </w:tcPr>
          <w:p w14:paraId="21783178">
            <w:pPr>
              <w:jc w:val="center"/>
              <w:rPr>
                <w:rFonts w:eastAsia="仿宋_GB2312"/>
                <w:kern w:val="0"/>
                <w:szCs w:val="21"/>
              </w:rPr>
            </w:pPr>
            <w:r>
              <w:rPr>
                <w:rFonts w:eastAsia="仿宋_GB2312"/>
                <w:kern w:val="0"/>
                <w:szCs w:val="21"/>
              </w:rPr>
              <w:t>0.1320</w:t>
            </w:r>
          </w:p>
        </w:tc>
      </w:tr>
      <w:tr w14:paraId="63A2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5B765EE0">
            <w:pPr>
              <w:ind w:firstLine="420"/>
              <w:jc w:val="center"/>
              <w:rPr>
                <w:kern w:val="0"/>
                <w:szCs w:val="21"/>
              </w:rPr>
            </w:pPr>
          </w:p>
        </w:tc>
        <w:tc>
          <w:tcPr>
            <w:tcW w:w="983" w:type="dxa"/>
            <w:vMerge w:val="continue"/>
            <w:vAlign w:val="center"/>
          </w:tcPr>
          <w:p w14:paraId="165C831C">
            <w:pPr>
              <w:ind w:firstLine="420"/>
              <w:jc w:val="center"/>
              <w:rPr>
                <w:rFonts w:eastAsia="仿宋_GB2312"/>
                <w:kern w:val="0"/>
                <w:szCs w:val="21"/>
              </w:rPr>
            </w:pPr>
          </w:p>
        </w:tc>
        <w:tc>
          <w:tcPr>
            <w:tcW w:w="1508" w:type="dxa"/>
            <w:vMerge w:val="continue"/>
            <w:vAlign w:val="center"/>
          </w:tcPr>
          <w:p w14:paraId="47B915CC">
            <w:pPr>
              <w:ind w:firstLine="420"/>
              <w:jc w:val="center"/>
              <w:rPr>
                <w:kern w:val="0"/>
                <w:szCs w:val="21"/>
              </w:rPr>
            </w:pPr>
          </w:p>
        </w:tc>
        <w:tc>
          <w:tcPr>
            <w:tcW w:w="1221" w:type="dxa"/>
            <w:vMerge w:val="continue"/>
            <w:vAlign w:val="center"/>
          </w:tcPr>
          <w:p w14:paraId="6C800E28">
            <w:pPr>
              <w:ind w:firstLine="420"/>
              <w:jc w:val="center"/>
              <w:rPr>
                <w:rFonts w:eastAsia="仿宋_GB2312"/>
                <w:kern w:val="0"/>
                <w:szCs w:val="21"/>
              </w:rPr>
            </w:pPr>
          </w:p>
        </w:tc>
        <w:tc>
          <w:tcPr>
            <w:tcW w:w="1815" w:type="dxa"/>
            <w:vAlign w:val="center"/>
          </w:tcPr>
          <w:p w14:paraId="2675DB02">
            <w:pPr>
              <w:jc w:val="center"/>
              <w:rPr>
                <w:kern w:val="0"/>
                <w:szCs w:val="21"/>
              </w:rPr>
            </w:pPr>
            <w:r>
              <w:rPr>
                <w:kern w:val="0"/>
                <w:szCs w:val="21"/>
              </w:rPr>
              <w:t>土壤PH值</w:t>
            </w:r>
          </w:p>
        </w:tc>
        <w:tc>
          <w:tcPr>
            <w:tcW w:w="1071" w:type="dxa"/>
            <w:vAlign w:val="center"/>
          </w:tcPr>
          <w:p w14:paraId="0514FE21">
            <w:pPr>
              <w:jc w:val="center"/>
              <w:rPr>
                <w:rFonts w:eastAsia="仿宋_GB2312"/>
                <w:kern w:val="0"/>
                <w:szCs w:val="21"/>
              </w:rPr>
            </w:pPr>
            <w:r>
              <w:rPr>
                <w:rFonts w:eastAsia="仿宋_GB2312"/>
                <w:kern w:val="0"/>
                <w:szCs w:val="21"/>
              </w:rPr>
              <w:t>0.0385</w:t>
            </w:r>
          </w:p>
        </w:tc>
      </w:tr>
      <w:tr w14:paraId="3B7E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3FBA025D">
            <w:pPr>
              <w:ind w:firstLine="420"/>
              <w:jc w:val="center"/>
              <w:rPr>
                <w:kern w:val="0"/>
                <w:szCs w:val="21"/>
              </w:rPr>
            </w:pPr>
          </w:p>
        </w:tc>
        <w:tc>
          <w:tcPr>
            <w:tcW w:w="983" w:type="dxa"/>
            <w:vMerge w:val="continue"/>
            <w:vAlign w:val="center"/>
          </w:tcPr>
          <w:p w14:paraId="7A468E8C">
            <w:pPr>
              <w:ind w:firstLine="420"/>
              <w:jc w:val="center"/>
              <w:rPr>
                <w:rFonts w:eastAsia="仿宋_GB2312"/>
                <w:kern w:val="0"/>
                <w:szCs w:val="21"/>
              </w:rPr>
            </w:pPr>
          </w:p>
        </w:tc>
        <w:tc>
          <w:tcPr>
            <w:tcW w:w="1508" w:type="dxa"/>
            <w:vMerge w:val="continue"/>
            <w:vAlign w:val="center"/>
          </w:tcPr>
          <w:p w14:paraId="7A425967">
            <w:pPr>
              <w:ind w:firstLine="420"/>
              <w:jc w:val="center"/>
              <w:rPr>
                <w:kern w:val="0"/>
                <w:szCs w:val="21"/>
              </w:rPr>
            </w:pPr>
          </w:p>
        </w:tc>
        <w:tc>
          <w:tcPr>
            <w:tcW w:w="1221" w:type="dxa"/>
            <w:vMerge w:val="continue"/>
            <w:vAlign w:val="center"/>
          </w:tcPr>
          <w:p w14:paraId="083172E8">
            <w:pPr>
              <w:ind w:firstLine="420"/>
              <w:jc w:val="center"/>
              <w:rPr>
                <w:rFonts w:eastAsia="仿宋_GB2312"/>
                <w:kern w:val="0"/>
                <w:szCs w:val="21"/>
              </w:rPr>
            </w:pPr>
          </w:p>
        </w:tc>
        <w:tc>
          <w:tcPr>
            <w:tcW w:w="1815" w:type="dxa"/>
            <w:vAlign w:val="center"/>
          </w:tcPr>
          <w:p w14:paraId="01A34FAF">
            <w:pPr>
              <w:jc w:val="center"/>
              <w:rPr>
                <w:kern w:val="0"/>
                <w:szCs w:val="21"/>
              </w:rPr>
            </w:pPr>
            <w:r>
              <w:rPr>
                <w:kern w:val="0"/>
                <w:szCs w:val="21"/>
              </w:rPr>
              <w:t>障碍层深度</w:t>
            </w:r>
          </w:p>
        </w:tc>
        <w:tc>
          <w:tcPr>
            <w:tcW w:w="1071" w:type="dxa"/>
            <w:vAlign w:val="center"/>
          </w:tcPr>
          <w:p w14:paraId="6BEEB72E">
            <w:pPr>
              <w:jc w:val="center"/>
              <w:rPr>
                <w:rFonts w:eastAsia="仿宋_GB2312"/>
                <w:kern w:val="0"/>
                <w:szCs w:val="21"/>
              </w:rPr>
            </w:pPr>
            <w:r>
              <w:rPr>
                <w:rFonts w:eastAsia="仿宋_GB2312"/>
                <w:kern w:val="0"/>
                <w:szCs w:val="21"/>
              </w:rPr>
              <w:t>0.0495</w:t>
            </w:r>
          </w:p>
        </w:tc>
      </w:tr>
      <w:tr w14:paraId="56E0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2A9DB71D">
            <w:pPr>
              <w:ind w:firstLine="420"/>
              <w:jc w:val="center"/>
              <w:rPr>
                <w:kern w:val="0"/>
                <w:szCs w:val="21"/>
              </w:rPr>
            </w:pPr>
          </w:p>
        </w:tc>
        <w:tc>
          <w:tcPr>
            <w:tcW w:w="983" w:type="dxa"/>
            <w:vMerge w:val="continue"/>
            <w:vAlign w:val="center"/>
          </w:tcPr>
          <w:p w14:paraId="647B8533">
            <w:pPr>
              <w:ind w:firstLine="420"/>
              <w:jc w:val="center"/>
              <w:rPr>
                <w:rFonts w:eastAsia="仿宋_GB2312"/>
                <w:kern w:val="0"/>
                <w:szCs w:val="21"/>
              </w:rPr>
            </w:pPr>
          </w:p>
        </w:tc>
        <w:tc>
          <w:tcPr>
            <w:tcW w:w="1508" w:type="dxa"/>
            <w:vMerge w:val="continue"/>
            <w:vAlign w:val="center"/>
          </w:tcPr>
          <w:p w14:paraId="367618B8">
            <w:pPr>
              <w:ind w:firstLine="420"/>
              <w:jc w:val="center"/>
              <w:rPr>
                <w:kern w:val="0"/>
                <w:szCs w:val="21"/>
              </w:rPr>
            </w:pPr>
          </w:p>
        </w:tc>
        <w:tc>
          <w:tcPr>
            <w:tcW w:w="1221" w:type="dxa"/>
            <w:vMerge w:val="continue"/>
            <w:vAlign w:val="center"/>
          </w:tcPr>
          <w:p w14:paraId="6024C579">
            <w:pPr>
              <w:ind w:firstLine="420"/>
              <w:jc w:val="center"/>
              <w:rPr>
                <w:rFonts w:eastAsia="仿宋_GB2312"/>
                <w:kern w:val="0"/>
                <w:szCs w:val="21"/>
              </w:rPr>
            </w:pPr>
          </w:p>
        </w:tc>
        <w:tc>
          <w:tcPr>
            <w:tcW w:w="1815" w:type="dxa"/>
            <w:vAlign w:val="center"/>
          </w:tcPr>
          <w:p w14:paraId="301342C9">
            <w:pPr>
              <w:jc w:val="center"/>
              <w:rPr>
                <w:kern w:val="0"/>
                <w:szCs w:val="21"/>
              </w:rPr>
            </w:pPr>
            <w:r>
              <w:rPr>
                <w:kern w:val="0"/>
                <w:szCs w:val="21"/>
              </w:rPr>
              <w:t>地下水埋深</w:t>
            </w:r>
          </w:p>
        </w:tc>
        <w:tc>
          <w:tcPr>
            <w:tcW w:w="1071" w:type="dxa"/>
            <w:vAlign w:val="center"/>
          </w:tcPr>
          <w:p w14:paraId="5EEF42B1">
            <w:pPr>
              <w:jc w:val="center"/>
              <w:rPr>
                <w:rFonts w:eastAsia="仿宋_GB2312"/>
                <w:kern w:val="0"/>
                <w:szCs w:val="21"/>
              </w:rPr>
            </w:pPr>
            <w:r>
              <w:rPr>
                <w:rFonts w:eastAsia="仿宋_GB2312"/>
                <w:kern w:val="0"/>
                <w:szCs w:val="21"/>
              </w:rPr>
              <w:t>0.0550</w:t>
            </w:r>
          </w:p>
        </w:tc>
      </w:tr>
      <w:tr w14:paraId="6BDA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restart"/>
            <w:vAlign w:val="center"/>
          </w:tcPr>
          <w:p w14:paraId="5C9636A4">
            <w:pPr>
              <w:jc w:val="center"/>
              <w:rPr>
                <w:kern w:val="0"/>
                <w:szCs w:val="21"/>
              </w:rPr>
            </w:pPr>
            <w:r>
              <w:rPr>
                <w:kern w:val="0"/>
                <w:szCs w:val="21"/>
              </w:rPr>
              <w:t>区位经济因素</w:t>
            </w:r>
          </w:p>
        </w:tc>
        <w:tc>
          <w:tcPr>
            <w:tcW w:w="983" w:type="dxa"/>
            <w:vMerge w:val="restart"/>
            <w:vAlign w:val="center"/>
          </w:tcPr>
          <w:p w14:paraId="5C5B8BFC">
            <w:pPr>
              <w:jc w:val="center"/>
              <w:rPr>
                <w:rFonts w:eastAsia="仿宋_GB2312"/>
                <w:kern w:val="0"/>
                <w:szCs w:val="21"/>
              </w:rPr>
            </w:pPr>
            <w:r>
              <w:rPr>
                <w:rFonts w:eastAsia="仿宋_GB2312"/>
                <w:kern w:val="0"/>
                <w:szCs w:val="21"/>
              </w:rPr>
              <w:t>0.4</w:t>
            </w:r>
          </w:p>
        </w:tc>
        <w:tc>
          <w:tcPr>
            <w:tcW w:w="1508" w:type="dxa"/>
            <w:vMerge w:val="restart"/>
            <w:vAlign w:val="center"/>
          </w:tcPr>
          <w:p w14:paraId="3A9546E7">
            <w:pPr>
              <w:jc w:val="center"/>
              <w:rPr>
                <w:kern w:val="0"/>
                <w:szCs w:val="21"/>
              </w:rPr>
            </w:pPr>
            <w:r>
              <w:rPr>
                <w:kern w:val="0"/>
                <w:szCs w:val="21"/>
              </w:rPr>
              <w:t>区位交通条件</w:t>
            </w:r>
          </w:p>
        </w:tc>
        <w:tc>
          <w:tcPr>
            <w:tcW w:w="1221" w:type="dxa"/>
            <w:vMerge w:val="restart"/>
            <w:vAlign w:val="center"/>
          </w:tcPr>
          <w:p w14:paraId="6CC57C1D">
            <w:pPr>
              <w:jc w:val="center"/>
              <w:rPr>
                <w:rFonts w:eastAsia="仿宋_GB2312"/>
                <w:kern w:val="0"/>
                <w:szCs w:val="21"/>
              </w:rPr>
            </w:pPr>
            <w:r>
              <w:rPr>
                <w:rFonts w:eastAsia="仿宋_GB2312"/>
                <w:kern w:val="0"/>
                <w:szCs w:val="21"/>
              </w:rPr>
              <w:t>0.16</w:t>
            </w:r>
          </w:p>
        </w:tc>
        <w:tc>
          <w:tcPr>
            <w:tcW w:w="1815" w:type="dxa"/>
            <w:vAlign w:val="center"/>
          </w:tcPr>
          <w:p w14:paraId="55302A1C">
            <w:pPr>
              <w:jc w:val="center"/>
              <w:rPr>
                <w:kern w:val="0"/>
                <w:szCs w:val="21"/>
              </w:rPr>
            </w:pPr>
            <w:r>
              <w:rPr>
                <w:kern w:val="0"/>
                <w:szCs w:val="21"/>
              </w:rPr>
              <w:t>农贸市场影度</w:t>
            </w:r>
          </w:p>
        </w:tc>
        <w:tc>
          <w:tcPr>
            <w:tcW w:w="1071" w:type="dxa"/>
            <w:vAlign w:val="center"/>
          </w:tcPr>
          <w:p w14:paraId="39937F2E">
            <w:pPr>
              <w:jc w:val="center"/>
              <w:rPr>
                <w:rFonts w:eastAsia="仿宋_GB2312"/>
                <w:kern w:val="0"/>
                <w:szCs w:val="21"/>
              </w:rPr>
            </w:pPr>
            <w:r>
              <w:rPr>
                <w:rFonts w:eastAsia="仿宋_GB2312"/>
                <w:kern w:val="0"/>
                <w:szCs w:val="21"/>
              </w:rPr>
              <w:t>0.0800</w:t>
            </w:r>
          </w:p>
        </w:tc>
      </w:tr>
      <w:tr w14:paraId="2BA4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5DDBB86F">
            <w:pPr>
              <w:ind w:firstLine="420"/>
              <w:jc w:val="center"/>
              <w:rPr>
                <w:rFonts w:eastAsia="仿宋_GB2312"/>
                <w:kern w:val="0"/>
                <w:szCs w:val="21"/>
              </w:rPr>
            </w:pPr>
          </w:p>
        </w:tc>
        <w:tc>
          <w:tcPr>
            <w:tcW w:w="983" w:type="dxa"/>
            <w:vMerge w:val="continue"/>
            <w:vAlign w:val="center"/>
          </w:tcPr>
          <w:p w14:paraId="70236767">
            <w:pPr>
              <w:ind w:firstLine="420"/>
              <w:jc w:val="center"/>
              <w:rPr>
                <w:rFonts w:eastAsia="仿宋_GB2312"/>
                <w:kern w:val="0"/>
                <w:szCs w:val="21"/>
              </w:rPr>
            </w:pPr>
          </w:p>
        </w:tc>
        <w:tc>
          <w:tcPr>
            <w:tcW w:w="1508" w:type="dxa"/>
            <w:vMerge w:val="continue"/>
            <w:vAlign w:val="center"/>
          </w:tcPr>
          <w:p w14:paraId="12C41E5D">
            <w:pPr>
              <w:ind w:firstLine="420"/>
              <w:jc w:val="center"/>
              <w:rPr>
                <w:kern w:val="0"/>
                <w:szCs w:val="21"/>
              </w:rPr>
            </w:pPr>
          </w:p>
        </w:tc>
        <w:tc>
          <w:tcPr>
            <w:tcW w:w="1221" w:type="dxa"/>
            <w:vMerge w:val="continue"/>
            <w:vAlign w:val="center"/>
          </w:tcPr>
          <w:p w14:paraId="5265DA18">
            <w:pPr>
              <w:ind w:firstLine="420"/>
              <w:jc w:val="center"/>
              <w:rPr>
                <w:rFonts w:eastAsia="仿宋_GB2312"/>
                <w:kern w:val="0"/>
                <w:szCs w:val="21"/>
              </w:rPr>
            </w:pPr>
          </w:p>
        </w:tc>
        <w:tc>
          <w:tcPr>
            <w:tcW w:w="1815" w:type="dxa"/>
            <w:vAlign w:val="center"/>
          </w:tcPr>
          <w:p w14:paraId="6E707E2B">
            <w:pPr>
              <w:jc w:val="center"/>
              <w:rPr>
                <w:kern w:val="0"/>
                <w:szCs w:val="21"/>
              </w:rPr>
            </w:pPr>
            <w:r>
              <w:rPr>
                <w:kern w:val="0"/>
                <w:szCs w:val="21"/>
              </w:rPr>
              <w:t>道路通达度</w:t>
            </w:r>
          </w:p>
        </w:tc>
        <w:tc>
          <w:tcPr>
            <w:tcW w:w="1071" w:type="dxa"/>
            <w:vAlign w:val="center"/>
          </w:tcPr>
          <w:p w14:paraId="744EC569">
            <w:pPr>
              <w:jc w:val="center"/>
              <w:rPr>
                <w:rFonts w:eastAsia="仿宋_GB2312"/>
                <w:kern w:val="0"/>
                <w:szCs w:val="21"/>
              </w:rPr>
            </w:pPr>
            <w:r>
              <w:rPr>
                <w:rFonts w:eastAsia="仿宋_GB2312"/>
                <w:kern w:val="0"/>
                <w:szCs w:val="21"/>
              </w:rPr>
              <w:t>0.0800</w:t>
            </w:r>
          </w:p>
        </w:tc>
      </w:tr>
      <w:tr w14:paraId="7B3E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3A851F90">
            <w:pPr>
              <w:ind w:firstLine="420"/>
              <w:jc w:val="center"/>
              <w:rPr>
                <w:rFonts w:eastAsia="仿宋_GB2312"/>
                <w:kern w:val="0"/>
                <w:szCs w:val="21"/>
              </w:rPr>
            </w:pPr>
          </w:p>
        </w:tc>
        <w:tc>
          <w:tcPr>
            <w:tcW w:w="983" w:type="dxa"/>
            <w:vMerge w:val="continue"/>
            <w:vAlign w:val="center"/>
          </w:tcPr>
          <w:p w14:paraId="13B995ED">
            <w:pPr>
              <w:ind w:firstLine="420"/>
              <w:jc w:val="center"/>
              <w:rPr>
                <w:rFonts w:eastAsia="仿宋_GB2312"/>
                <w:kern w:val="0"/>
                <w:szCs w:val="21"/>
              </w:rPr>
            </w:pPr>
          </w:p>
        </w:tc>
        <w:tc>
          <w:tcPr>
            <w:tcW w:w="1508" w:type="dxa"/>
            <w:vMerge w:val="restart"/>
            <w:vAlign w:val="center"/>
          </w:tcPr>
          <w:p w14:paraId="7D3EA1FB">
            <w:pPr>
              <w:jc w:val="center"/>
              <w:rPr>
                <w:kern w:val="0"/>
                <w:szCs w:val="21"/>
              </w:rPr>
            </w:pPr>
            <w:r>
              <w:rPr>
                <w:kern w:val="0"/>
                <w:szCs w:val="21"/>
              </w:rPr>
              <w:t>基础设施条件</w:t>
            </w:r>
          </w:p>
        </w:tc>
        <w:tc>
          <w:tcPr>
            <w:tcW w:w="1221" w:type="dxa"/>
            <w:vMerge w:val="restart"/>
            <w:vAlign w:val="center"/>
          </w:tcPr>
          <w:p w14:paraId="0EB0DE1D">
            <w:pPr>
              <w:jc w:val="center"/>
              <w:rPr>
                <w:rFonts w:eastAsia="仿宋_GB2312"/>
                <w:kern w:val="0"/>
                <w:szCs w:val="21"/>
              </w:rPr>
            </w:pPr>
            <w:r>
              <w:rPr>
                <w:rFonts w:eastAsia="仿宋_GB2312"/>
                <w:kern w:val="0"/>
                <w:szCs w:val="21"/>
              </w:rPr>
              <w:t>0.12</w:t>
            </w:r>
          </w:p>
        </w:tc>
        <w:tc>
          <w:tcPr>
            <w:tcW w:w="1815" w:type="dxa"/>
            <w:vAlign w:val="center"/>
          </w:tcPr>
          <w:p w14:paraId="526A1AB0">
            <w:pPr>
              <w:jc w:val="center"/>
              <w:rPr>
                <w:kern w:val="0"/>
                <w:szCs w:val="21"/>
              </w:rPr>
            </w:pPr>
            <w:r>
              <w:rPr>
                <w:kern w:val="0"/>
                <w:szCs w:val="21"/>
              </w:rPr>
              <w:t>排水条件</w:t>
            </w:r>
          </w:p>
        </w:tc>
        <w:tc>
          <w:tcPr>
            <w:tcW w:w="1071" w:type="dxa"/>
            <w:vAlign w:val="center"/>
          </w:tcPr>
          <w:p w14:paraId="0951F804">
            <w:pPr>
              <w:jc w:val="center"/>
              <w:rPr>
                <w:rFonts w:eastAsia="仿宋_GB2312"/>
                <w:kern w:val="0"/>
                <w:szCs w:val="21"/>
              </w:rPr>
            </w:pPr>
            <w:r>
              <w:rPr>
                <w:rFonts w:eastAsia="仿宋_GB2312"/>
                <w:kern w:val="0"/>
                <w:szCs w:val="21"/>
              </w:rPr>
              <w:t>0.0600</w:t>
            </w:r>
          </w:p>
        </w:tc>
      </w:tr>
      <w:tr w14:paraId="6776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17C0FF61">
            <w:pPr>
              <w:ind w:firstLine="420"/>
              <w:jc w:val="center"/>
              <w:rPr>
                <w:rFonts w:eastAsia="仿宋_GB2312"/>
                <w:kern w:val="0"/>
                <w:szCs w:val="21"/>
              </w:rPr>
            </w:pPr>
          </w:p>
        </w:tc>
        <w:tc>
          <w:tcPr>
            <w:tcW w:w="983" w:type="dxa"/>
            <w:vMerge w:val="continue"/>
            <w:vAlign w:val="center"/>
          </w:tcPr>
          <w:p w14:paraId="57490276">
            <w:pPr>
              <w:ind w:firstLine="420"/>
              <w:jc w:val="center"/>
              <w:rPr>
                <w:rFonts w:eastAsia="仿宋_GB2312"/>
                <w:kern w:val="0"/>
                <w:szCs w:val="21"/>
              </w:rPr>
            </w:pPr>
          </w:p>
        </w:tc>
        <w:tc>
          <w:tcPr>
            <w:tcW w:w="1508" w:type="dxa"/>
            <w:vMerge w:val="continue"/>
            <w:vAlign w:val="center"/>
          </w:tcPr>
          <w:p w14:paraId="22359F5B">
            <w:pPr>
              <w:ind w:firstLine="420"/>
              <w:jc w:val="center"/>
              <w:rPr>
                <w:kern w:val="0"/>
                <w:szCs w:val="21"/>
              </w:rPr>
            </w:pPr>
          </w:p>
        </w:tc>
        <w:tc>
          <w:tcPr>
            <w:tcW w:w="1221" w:type="dxa"/>
            <w:vMerge w:val="continue"/>
            <w:vAlign w:val="center"/>
          </w:tcPr>
          <w:p w14:paraId="5E8B808B">
            <w:pPr>
              <w:ind w:firstLine="420"/>
              <w:jc w:val="center"/>
              <w:rPr>
                <w:rFonts w:eastAsia="仿宋_GB2312"/>
                <w:kern w:val="0"/>
                <w:szCs w:val="21"/>
              </w:rPr>
            </w:pPr>
          </w:p>
        </w:tc>
        <w:tc>
          <w:tcPr>
            <w:tcW w:w="1815" w:type="dxa"/>
            <w:vAlign w:val="center"/>
          </w:tcPr>
          <w:p w14:paraId="2EFAD14E">
            <w:pPr>
              <w:jc w:val="center"/>
              <w:rPr>
                <w:kern w:val="0"/>
                <w:szCs w:val="21"/>
              </w:rPr>
            </w:pPr>
            <w:r>
              <w:rPr>
                <w:kern w:val="0"/>
                <w:szCs w:val="21"/>
              </w:rPr>
              <w:t>灌溉保证率</w:t>
            </w:r>
          </w:p>
        </w:tc>
        <w:tc>
          <w:tcPr>
            <w:tcW w:w="1071" w:type="dxa"/>
            <w:vAlign w:val="center"/>
          </w:tcPr>
          <w:p w14:paraId="75680D30">
            <w:pPr>
              <w:jc w:val="center"/>
              <w:rPr>
                <w:rFonts w:eastAsia="仿宋_GB2312"/>
                <w:kern w:val="0"/>
                <w:szCs w:val="21"/>
              </w:rPr>
            </w:pPr>
            <w:r>
              <w:rPr>
                <w:rFonts w:eastAsia="仿宋_GB2312"/>
                <w:kern w:val="0"/>
                <w:szCs w:val="21"/>
              </w:rPr>
              <w:t>0.0600</w:t>
            </w:r>
          </w:p>
        </w:tc>
      </w:tr>
      <w:tr w14:paraId="7A7F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5F5EC49B">
            <w:pPr>
              <w:ind w:firstLine="420"/>
              <w:jc w:val="center"/>
              <w:rPr>
                <w:rFonts w:eastAsia="仿宋_GB2312"/>
                <w:kern w:val="0"/>
                <w:szCs w:val="21"/>
              </w:rPr>
            </w:pPr>
          </w:p>
        </w:tc>
        <w:tc>
          <w:tcPr>
            <w:tcW w:w="983" w:type="dxa"/>
            <w:vMerge w:val="continue"/>
            <w:vAlign w:val="center"/>
          </w:tcPr>
          <w:p w14:paraId="28AAFA06">
            <w:pPr>
              <w:ind w:firstLine="420"/>
              <w:jc w:val="center"/>
              <w:rPr>
                <w:rFonts w:eastAsia="仿宋_GB2312"/>
                <w:kern w:val="0"/>
                <w:szCs w:val="21"/>
              </w:rPr>
            </w:pPr>
          </w:p>
        </w:tc>
        <w:tc>
          <w:tcPr>
            <w:tcW w:w="1508" w:type="dxa"/>
            <w:vMerge w:val="restart"/>
            <w:vAlign w:val="center"/>
          </w:tcPr>
          <w:p w14:paraId="3BC015F4">
            <w:pPr>
              <w:jc w:val="center"/>
              <w:rPr>
                <w:kern w:val="0"/>
                <w:szCs w:val="21"/>
              </w:rPr>
            </w:pPr>
            <w:r>
              <w:rPr>
                <w:kern w:val="0"/>
                <w:szCs w:val="21"/>
              </w:rPr>
              <w:t>农业经济状况</w:t>
            </w:r>
          </w:p>
        </w:tc>
        <w:tc>
          <w:tcPr>
            <w:tcW w:w="1221" w:type="dxa"/>
            <w:vMerge w:val="restart"/>
            <w:vAlign w:val="center"/>
          </w:tcPr>
          <w:p w14:paraId="15CAC096">
            <w:pPr>
              <w:jc w:val="center"/>
              <w:rPr>
                <w:rFonts w:eastAsia="仿宋_GB2312"/>
                <w:kern w:val="0"/>
                <w:szCs w:val="21"/>
              </w:rPr>
            </w:pPr>
            <w:r>
              <w:rPr>
                <w:rFonts w:eastAsia="仿宋_GB2312"/>
                <w:kern w:val="0"/>
                <w:szCs w:val="21"/>
              </w:rPr>
              <w:t>0.12</w:t>
            </w:r>
          </w:p>
        </w:tc>
        <w:tc>
          <w:tcPr>
            <w:tcW w:w="1815" w:type="dxa"/>
            <w:vAlign w:val="center"/>
          </w:tcPr>
          <w:p w14:paraId="1D7E1D52">
            <w:pPr>
              <w:jc w:val="center"/>
              <w:rPr>
                <w:kern w:val="0"/>
                <w:szCs w:val="21"/>
              </w:rPr>
            </w:pPr>
            <w:r>
              <w:rPr>
                <w:kern w:val="0"/>
                <w:szCs w:val="21"/>
              </w:rPr>
              <w:t>亩均资金投入</w:t>
            </w:r>
          </w:p>
        </w:tc>
        <w:tc>
          <w:tcPr>
            <w:tcW w:w="1071" w:type="dxa"/>
            <w:vAlign w:val="center"/>
          </w:tcPr>
          <w:p w14:paraId="3CE8B571">
            <w:pPr>
              <w:jc w:val="center"/>
              <w:rPr>
                <w:rFonts w:eastAsia="仿宋_GB2312"/>
                <w:kern w:val="0"/>
                <w:szCs w:val="21"/>
              </w:rPr>
            </w:pPr>
            <w:r>
              <w:rPr>
                <w:rFonts w:eastAsia="仿宋_GB2312"/>
                <w:kern w:val="0"/>
                <w:szCs w:val="21"/>
              </w:rPr>
              <w:t>0.0600</w:t>
            </w:r>
          </w:p>
        </w:tc>
      </w:tr>
      <w:tr w14:paraId="35E0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8" w:type="dxa"/>
            <w:vMerge w:val="continue"/>
            <w:vAlign w:val="center"/>
          </w:tcPr>
          <w:p w14:paraId="32F53A46">
            <w:pPr>
              <w:ind w:firstLine="420"/>
              <w:jc w:val="center"/>
              <w:rPr>
                <w:rFonts w:eastAsia="仿宋_GB2312"/>
                <w:kern w:val="0"/>
                <w:szCs w:val="21"/>
              </w:rPr>
            </w:pPr>
          </w:p>
        </w:tc>
        <w:tc>
          <w:tcPr>
            <w:tcW w:w="983" w:type="dxa"/>
            <w:vMerge w:val="continue"/>
            <w:vAlign w:val="center"/>
          </w:tcPr>
          <w:p w14:paraId="03428846">
            <w:pPr>
              <w:ind w:firstLine="420"/>
              <w:jc w:val="center"/>
              <w:rPr>
                <w:rFonts w:eastAsia="仿宋_GB2312"/>
                <w:kern w:val="0"/>
                <w:szCs w:val="21"/>
              </w:rPr>
            </w:pPr>
          </w:p>
        </w:tc>
        <w:tc>
          <w:tcPr>
            <w:tcW w:w="1508" w:type="dxa"/>
            <w:vMerge w:val="continue"/>
            <w:vAlign w:val="center"/>
          </w:tcPr>
          <w:p w14:paraId="76B9BDBA">
            <w:pPr>
              <w:ind w:firstLine="420"/>
              <w:jc w:val="center"/>
              <w:rPr>
                <w:rFonts w:eastAsia="仿宋_GB2312"/>
                <w:kern w:val="0"/>
                <w:szCs w:val="21"/>
              </w:rPr>
            </w:pPr>
          </w:p>
        </w:tc>
        <w:tc>
          <w:tcPr>
            <w:tcW w:w="1221" w:type="dxa"/>
            <w:vMerge w:val="continue"/>
            <w:vAlign w:val="center"/>
          </w:tcPr>
          <w:p w14:paraId="7C772385">
            <w:pPr>
              <w:ind w:firstLine="420"/>
              <w:jc w:val="center"/>
              <w:rPr>
                <w:rFonts w:eastAsia="仿宋_GB2312"/>
                <w:kern w:val="0"/>
                <w:szCs w:val="21"/>
              </w:rPr>
            </w:pPr>
          </w:p>
        </w:tc>
        <w:tc>
          <w:tcPr>
            <w:tcW w:w="1815" w:type="dxa"/>
            <w:vAlign w:val="center"/>
          </w:tcPr>
          <w:p w14:paraId="6A3AAE5E">
            <w:pPr>
              <w:jc w:val="center"/>
              <w:rPr>
                <w:kern w:val="0"/>
                <w:szCs w:val="21"/>
              </w:rPr>
            </w:pPr>
            <w:r>
              <w:rPr>
                <w:kern w:val="0"/>
                <w:szCs w:val="21"/>
              </w:rPr>
              <w:t>亩均纯收益</w:t>
            </w:r>
          </w:p>
        </w:tc>
        <w:tc>
          <w:tcPr>
            <w:tcW w:w="1071" w:type="dxa"/>
            <w:vAlign w:val="center"/>
          </w:tcPr>
          <w:p w14:paraId="0A7F4CE6">
            <w:pPr>
              <w:jc w:val="center"/>
              <w:rPr>
                <w:rFonts w:eastAsia="仿宋_GB2312"/>
                <w:kern w:val="0"/>
                <w:szCs w:val="21"/>
              </w:rPr>
            </w:pPr>
            <w:r>
              <w:rPr>
                <w:rFonts w:eastAsia="仿宋_GB2312"/>
                <w:kern w:val="0"/>
                <w:szCs w:val="21"/>
              </w:rPr>
              <w:t>0.0600</w:t>
            </w:r>
          </w:p>
        </w:tc>
      </w:tr>
    </w:tbl>
    <w:p w14:paraId="20BEE57A">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95" w:name="_Toc532729863"/>
      <w:bookmarkStart w:id="96" w:name="_Toc47384602"/>
      <w:r>
        <w:rPr>
          <w:rFonts w:hint="eastAsia" w:ascii="宋体" w:hAnsi="宋体"/>
          <w:bCs/>
          <w:kern w:val="2"/>
          <w:szCs w:val="28"/>
        </w:rPr>
        <w:t>3</w:t>
      </w:r>
      <w:r>
        <w:rPr>
          <w:rFonts w:ascii="宋体" w:hAnsi="宋体"/>
          <w:bCs/>
          <w:kern w:val="2"/>
          <w:szCs w:val="28"/>
        </w:rPr>
        <w:t>.2 土地定级因子整理与量化方法</w:t>
      </w:r>
      <w:bookmarkEnd w:id="95"/>
      <w:bookmarkEnd w:id="96"/>
    </w:p>
    <w:p w14:paraId="00268001">
      <w:pPr>
        <w:pStyle w:val="4"/>
        <w:widowControl w:val="0"/>
        <w:tabs>
          <w:tab w:val="left" w:pos="720"/>
        </w:tabs>
        <w:spacing w:before="120" w:after="120" w:line="500" w:lineRule="exact"/>
        <w:ind w:left="826" w:hanging="826"/>
        <w:jc w:val="both"/>
        <w:rPr>
          <w:rFonts w:ascii="宋体" w:hAnsi="宋体"/>
          <w:sz w:val="24"/>
          <w:szCs w:val="24"/>
        </w:rPr>
      </w:pPr>
      <w:bookmarkStart w:id="97" w:name="_Toc535399912"/>
      <w:bookmarkStart w:id="98" w:name="_Toc532729864"/>
      <w:bookmarkStart w:id="99" w:name="_Toc47384603"/>
      <w:bookmarkStart w:id="100" w:name="_Toc534833335"/>
      <w:r>
        <w:rPr>
          <w:rFonts w:hint="eastAsia" w:ascii="宋体" w:hAnsi="宋体"/>
          <w:sz w:val="24"/>
          <w:szCs w:val="24"/>
        </w:rPr>
        <w:t>3</w:t>
      </w:r>
      <w:r>
        <w:rPr>
          <w:rFonts w:ascii="宋体" w:hAnsi="宋体"/>
          <w:sz w:val="24"/>
          <w:szCs w:val="24"/>
        </w:rPr>
        <w:t>.2.1 国有农用地定级资料调查与收集</w:t>
      </w:r>
      <w:bookmarkEnd w:id="97"/>
      <w:bookmarkEnd w:id="98"/>
      <w:bookmarkEnd w:id="99"/>
      <w:bookmarkEnd w:id="100"/>
    </w:p>
    <w:p w14:paraId="630487F8">
      <w:pPr>
        <w:spacing w:line="500" w:lineRule="exact"/>
        <w:ind w:firstLine="480" w:firstLineChars="200"/>
        <w:rPr>
          <w:sz w:val="24"/>
        </w:rPr>
      </w:pPr>
      <w:r>
        <w:rPr>
          <w:sz w:val="24"/>
        </w:rPr>
        <w:t>在国有农用地定级指标体系确定的基础上，根据《农用地定级规程》（GB/T28405-2012）要求，项目组通过部分资料调查、实地调查、规划咨询等多种途径，开展土地定级资料的调查与收集。收集到鄂州市各区地类、产值、土地区位、</w:t>
      </w:r>
      <w:r>
        <w:rPr>
          <w:rFonts w:ascii="宋体" w:hAnsi="宋体"/>
          <w:sz w:val="24"/>
        </w:rPr>
        <w:t>国有农用地</w:t>
      </w:r>
      <w:r>
        <w:rPr>
          <w:sz w:val="24"/>
        </w:rPr>
        <w:t>等级、人均耕地质量、土地供求关系、当地经济发展水平等土地定级因素资料，汇总情况见表3-3。</w:t>
      </w:r>
    </w:p>
    <w:p w14:paraId="3781CA44">
      <w:pPr>
        <w:spacing w:line="500" w:lineRule="exact"/>
        <w:ind w:firstLine="422"/>
        <w:jc w:val="center"/>
        <w:rPr>
          <w:b/>
          <w:szCs w:val="21"/>
        </w:rPr>
      </w:pPr>
      <w:r>
        <w:rPr>
          <w:b/>
          <w:szCs w:val="21"/>
        </w:rPr>
        <w:t>表3-3土地定级因资料收集说明表</w:t>
      </w:r>
    </w:p>
    <w:tbl>
      <w:tblPr>
        <w:tblStyle w:val="39"/>
        <w:tblW w:w="828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687"/>
        <w:gridCol w:w="6601"/>
      </w:tblGrid>
      <w:tr w14:paraId="474C9D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60BD7808">
            <w:pPr>
              <w:jc w:val="center"/>
              <w:rPr>
                <w:b/>
                <w:bCs/>
                <w:szCs w:val="21"/>
              </w:rPr>
            </w:pPr>
            <w:r>
              <w:rPr>
                <w:b/>
                <w:bCs/>
                <w:szCs w:val="21"/>
              </w:rPr>
              <w:t>因子</w:t>
            </w:r>
          </w:p>
        </w:tc>
        <w:tc>
          <w:tcPr>
            <w:tcW w:w="6601" w:type="dxa"/>
            <w:vAlign w:val="center"/>
          </w:tcPr>
          <w:p w14:paraId="136A5133">
            <w:pPr>
              <w:jc w:val="center"/>
              <w:rPr>
                <w:b/>
                <w:bCs/>
                <w:szCs w:val="21"/>
              </w:rPr>
            </w:pPr>
            <w:r>
              <w:rPr>
                <w:b/>
                <w:bCs/>
                <w:szCs w:val="21"/>
              </w:rPr>
              <w:t>资料说明</w:t>
            </w:r>
          </w:p>
        </w:tc>
      </w:tr>
      <w:tr w14:paraId="38E44C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6C2B1B09">
            <w:pPr>
              <w:jc w:val="center"/>
              <w:rPr>
                <w:szCs w:val="21"/>
              </w:rPr>
            </w:pPr>
            <w:r>
              <w:rPr>
                <w:szCs w:val="21"/>
              </w:rPr>
              <w:t>道路通达度</w:t>
            </w:r>
          </w:p>
        </w:tc>
        <w:tc>
          <w:tcPr>
            <w:tcW w:w="6601" w:type="dxa"/>
            <w:vAlign w:val="center"/>
          </w:tcPr>
          <w:p w14:paraId="5E36637F">
            <w:pPr>
              <w:jc w:val="center"/>
              <w:rPr>
                <w:szCs w:val="21"/>
              </w:rPr>
            </w:pPr>
            <w:r>
              <w:rPr>
                <w:szCs w:val="21"/>
              </w:rPr>
              <w:t>根据道路类型分为主干道、次干道、支路</w:t>
            </w:r>
          </w:p>
        </w:tc>
      </w:tr>
      <w:tr w14:paraId="03155B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7C3212BE">
            <w:pPr>
              <w:jc w:val="center"/>
              <w:rPr>
                <w:szCs w:val="21"/>
              </w:rPr>
            </w:pPr>
            <w:r>
              <w:rPr>
                <w:szCs w:val="21"/>
              </w:rPr>
              <w:t>地形坡度</w:t>
            </w:r>
          </w:p>
        </w:tc>
        <w:tc>
          <w:tcPr>
            <w:tcW w:w="6601" w:type="dxa"/>
            <w:vAlign w:val="center"/>
          </w:tcPr>
          <w:p w14:paraId="4E1A2293">
            <w:pPr>
              <w:jc w:val="center"/>
              <w:rPr>
                <w:szCs w:val="21"/>
              </w:rPr>
            </w:pPr>
            <w:r>
              <w:rPr>
                <w:szCs w:val="21"/>
              </w:rPr>
              <w:t>根据鄂州市DEM提取</w:t>
            </w:r>
          </w:p>
        </w:tc>
      </w:tr>
      <w:tr w14:paraId="49D4E4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1BE685B7">
            <w:pPr>
              <w:jc w:val="center"/>
              <w:rPr>
                <w:szCs w:val="21"/>
              </w:rPr>
            </w:pPr>
            <w:r>
              <w:rPr>
                <w:szCs w:val="21"/>
              </w:rPr>
              <w:t>土壤有机质含量</w:t>
            </w:r>
          </w:p>
        </w:tc>
        <w:tc>
          <w:tcPr>
            <w:tcW w:w="6601" w:type="dxa"/>
            <w:vAlign w:val="center"/>
          </w:tcPr>
          <w:p w14:paraId="3E35A9AF">
            <w:pPr>
              <w:jc w:val="center"/>
              <w:rPr>
                <w:szCs w:val="21"/>
              </w:rPr>
            </w:pPr>
            <w:r>
              <w:rPr>
                <w:szCs w:val="21"/>
              </w:rPr>
              <w:t>根据鄂州市2017年耕地质量更新评价数据库提取</w:t>
            </w:r>
          </w:p>
        </w:tc>
      </w:tr>
      <w:tr w14:paraId="69AB22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397FDD6B">
            <w:pPr>
              <w:jc w:val="center"/>
              <w:rPr>
                <w:szCs w:val="21"/>
              </w:rPr>
            </w:pPr>
            <w:r>
              <w:rPr>
                <w:szCs w:val="21"/>
              </w:rPr>
              <w:t>土壤剖面构型</w:t>
            </w:r>
          </w:p>
        </w:tc>
        <w:tc>
          <w:tcPr>
            <w:tcW w:w="6601" w:type="dxa"/>
          </w:tcPr>
          <w:p w14:paraId="35584E25">
            <w:pPr>
              <w:jc w:val="center"/>
            </w:pPr>
            <w:r>
              <w:rPr>
                <w:szCs w:val="21"/>
              </w:rPr>
              <w:t>根据鄂州市2017年耕地质量更新评价数据库提取</w:t>
            </w:r>
          </w:p>
        </w:tc>
      </w:tr>
      <w:tr w14:paraId="5972E5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6ADF4DE8">
            <w:pPr>
              <w:jc w:val="center"/>
              <w:rPr>
                <w:szCs w:val="21"/>
              </w:rPr>
            </w:pPr>
            <w:r>
              <w:rPr>
                <w:szCs w:val="21"/>
              </w:rPr>
              <w:t>表层土壤质地</w:t>
            </w:r>
          </w:p>
        </w:tc>
        <w:tc>
          <w:tcPr>
            <w:tcW w:w="6601" w:type="dxa"/>
          </w:tcPr>
          <w:p w14:paraId="4175B4BE">
            <w:pPr>
              <w:jc w:val="center"/>
            </w:pPr>
            <w:r>
              <w:rPr>
                <w:szCs w:val="21"/>
              </w:rPr>
              <w:t>根据鄂州市2017年耕地质量更新评价数据库提取</w:t>
            </w:r>
          </w:p>
        </w:tc>
      </w:tr>
      <w:tr w14:paraId="4BB60C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6EFB17E6">
            <w:pPr>
              <w:jc w:val="center"/>
              <w:rPr>
                <w:szCs w:val="21"/>
              </w:rPr>
            </w:pPr>
            <w:r>
              <w:rPr>
                <w:szCs w:val="21"/>
              </w:rPr>
              <w:t>土壤PH值</w:t>
            </w:r>
          </w:p>
        </w:tc>
        <w:tc>
          <w:tcPr>
            <w:tcW w:w="6601" w:type="dxa"/>
          </w:tcPr>
          <w:p w14:paraId="4DDA0824">
            <w:pPr>
              <w:jc w:val="center"/>
            </w:pPr>
            <w:r>
              <w:rPr>
                <w:szCs w:val="21"/>
              </w:rPr>
              <w:t>根据鄂州市2017年耕地质量更新评价数据库提取</w:t>
            </w:r>
          </w:p>
        </w:tc>
      </w:tr>
      <w:tr w14:paraId="5344E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587357C3">
            <w:pPr>
              <w:jc w:val="center"/>
              <w:rPr>
                <w:szCs w:val="21"/>
              </w:rPr>
            </w:pPr>
            <w:r>
              <w:rPr>
                <w:szCs w:val="21"/>
              </w:rPr>
              <w:t>障碍层深度</w:t>
            </w:r>
          </w:p>
        </w:tc>
        <w:tc>
          <w:tcPr>
            <w:tcW w:w="6601" w:type="dxa"/>
          </w:tcPr>
          <w:p w14:paraId="2C788AC2">
            <w:pPr>
              <w:jc w:val="center"/>
            </w:pPr>
            <w:r>
              <w:rPr>
                <w:szCs w:val="21"/>
              </w:rPr>
              <w:t>根据鄂州市2017年耕地质量更新评价数据库提取</w:t>
            </w:r>
          </w:p>
        </w:tc>
      </w:tr>
      <w:tr w14:paraId="33C185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417C0935">
            <w:pPr>
              <w:jc w:val="center"/>
              <w:rPr>
                <w:szCs w:val="21"/>
              </w:rPr>
            </w:pPr>
            <w:r>
              <w:rPr>
                <w:szCs w:val="21"/>
              </w:rPr>
              <w:t>灌溉保证率</w:t>
            </w:r>
          </w:p>
        </w:tc>
        <w:tc>
          <w:tcPr>
            <w:tcW w:w="6601" w:type="dxa"/>
          </w:tcPr>
          <w:p w14:paraId="5F4B34FF">
            <w:pPr>
              <w:jc w:val="center"/>
            </w:pPr>
            <w:r>
              <w:rPr>
                <w:szCs w:val="21"/>
              </w:rPr>
              <w:t>根据鄂州市2017年耕地质量更新评价数据库提取</w:t>
            </w:r>
          </w:p>
        </w:tc>
      </w:tr>
      <w:tr w14:paraId="00FF44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1DBB3FDA">
            <w:pPr>
              <w:jc w:val="center"/>
              <w:rPr>
                <w:szCs w:val="21"/>
              </w:rPr>
            </w:pPr>
            <w:r>
              <w:rPr>
                <w:szCs w:val="21"/>
              </w:rPr>
              <w:t>地下水埋深</w:t>
            </w:r>
          </w:p>
        </w:tc>
        <w:tc>
          <w:tcPr>
            <w:tcW w:w="6601" w:type="dxa"/>
          </w:tcPr>
          <w:p w14:paraId="5E04EA1D">
            <w:pPr>
              <w:jc w:val="center"/>
            </w:pPr>
            <w:r>
              <w:rPr>
                <w:szCs w:val="21"/>
              </w:rPr>
              <w:t>根据鄂州市2017年耕地质量更新评价数据库提取</w:t>
            </w:r>
          </w:p>
        </w:tc>
      </w:tr>
      <w:tr w14:paraId="62216C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43DB3FD3">
            <w:pPr>
              <w:jc w:val="center"/>
              <w:rPr>
                <w:szCs w:val="21"/>
              </w:rPr>
            </w:pPr>
            <w:r>
              <w:rPr>
                <w:szCs w:val="21"/>
              </w:rPr>
              <w:t>农贸市场影响度</w:t>
            </w:r>
          </w:p>
        </w:tc>
        <w:tc>
          <w:tcPr>
            <w:tcW w:w="6601" w:type="dxa"/>
            <w:vAlign w:val="center"/>
          </w:tcPr>
          <w:p w14:paraId="03B61AB9">
            <w:pPr>
              <w:jc w:val="center"/>
              <w:rPr>
                <w:szCs w:val="21"/>
              </w:rPr>
            </w:pPr>
            <w:r>
              <w:rPr>
                <w:szCs w:val="21"/>
              </w:rPr>
              <w:t>全市共有42个农贸市场</w:t>
            </w:r>
          </w:p>
        </w:tc>
      </w:tr>
      <w:tr w14:paraId="1E0678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367906B9">
            <w:pPr>
              <w:jc w:val="center"/>
              <w:rPr>
                <w:szCs w:val="21"/>
              </w:rPr>
            </w:pPr>
            <w:r>
              <w:rPr>
                <w:szCs w:val="21"/>
              </w:rPr>
              <w:t>排水条件</w:t>
            </w:r>
          </w:p>
        </w:tc>
        <w:tc>
          <w:tcPr>
            <w:tcW w:w="6601" w:type="dxa"/>
            <w:vAlign w:val="center"/>
          </w:tcPr>
          <w:p w14:paraId="04C132EC">
            <w:pPr>
              <w:jc w:val="center"/>
              <w:rPr>
                <w:szCs w:val="21"/>
                <w:highlight w:val="red"/>
              </w:rPr>
            </w:pPr>
            <w:r>
              <w:rPr>
                <w:szCs w:val="21"/>
              </w:rPr>
              <w:t>根据市政公司提供的资料来划分区片与等级</w:t>
            </w:r>
          </w:p>
        </w:tc>
      </w:tr>
      <w:tr w14:paraId="6AA385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4" w:hRule="atLeast"/>
          <w:tblHeader/>
          <w:jc w:val="center"/>
        </w:trPr>
        <w:tc>
          <w:tcPr>
            <w:tcW w:w="1687" w:type="dxa"/>
            <w:vAlign w:val="center"/>
          </w:tcPr>
          <w:p w14:paraId="4203CDF8">
            <w:pPr>
              <w:jc w:val="center"/>
              <w:rPr>
                <w:szCs w:val="21"/>
              </w:rPr>
            </w:pPr>
            <w:r>
              <w:rPr>
                <w:szCs w:val="21"/>
              </w:rPr>
              <w:t>亩均纯收益</w:t>
            </w:r>
          </w:p>
        </w:tc>
        <w:tc>
          <w:tcPr>
            <w:tcW w:w="6601" w:type="dxa"/>
            <w:vAlign w:val="center"/>
          </w:tcPr>
          <w:p w14:paraId="558A4E88">
            <w:pPr>
              <w:jc w:val="center"/>
              <w:rPr>
                <w:szCs w:val="21"/>
              </w:rPr>
            </w:pPr>
            <w:r>
              <w:rPr>
                <w:szCs w:val="21"/>
              </w:rPr>
              <w:t>根据不同地区主要种植作物、土地单位年产值、土地种植成本等数据测算</w:t>
            </w:r>
          </w:p>
        </w:tc>
      </w:tr>
    </w:tbl>
    <w:p w14:paraId="37DA8C05">
      <w:pPr>
        <w:pStyle w:val="4"/>
        <w:widowControl w:val="0"/>
        <w:tabs>
          <w:tab w:val="left" w:pos="720"/>
        </w:tabs>
        <w:spacing w:before="120" w:after="120" w:line="500" w:lineRule="exact"/>
        <w:ind w:left="826" w:hanging="826"/>
        <w:jc w:val="both"/>
        <w:rPr>
          <w:rFonts w:ascii="宋体" w:hAnsi="宋体"/>
          <w:sz w:val="24"/>
          <w:szCs w:val="24"/>
        </w:rPr>
      </w:pPr>
      <w:bookmarkStart w:id="101" w:name="_Toc534833336"/>
      <w:bookmarkStart w:id="102" w:name="_Toc47384604"/>
      <w:bookmarkStart w:id="103" w:name="_Toc532729865"/>
      <w:bookmarkStart w:id="104" w:name="_Toc535399913"/>
      <w:r>
        <w:rPr>
          <w:rFonts w:hint="eastAsia" w:ascii="宋体" w:hAnsi="宋体"/>
          <w:sz w:val="24"/>
          <w:szCs w:val="24"/>
        </w:rPr>
        <w:t>3</w:t>
      </w:r>
      <w:r>
        <w:rPr>
          <w:rFonts w:ascii="宋体" w:hAnsi="宋体"/>
          <w:sz w:val="24"/>
          <w:szCs w:val="24"/>
        </w:rPr>
        <w:t>.2.2 国有农用地定级因子量化方法</w:t>
      </w:r>
      <w:bookmarkEnd w:id="101"/>
      <w:bookmarkEnd w:id="102"/>
      <w:bookmarkEnd w:id="103"/>
      <w:bookmarkEnd w:id="104"/>
    </w:p>
    <w:p w14:paraId="2624724E">
      <w:pPr>
        <w:spacing w:line="500" w:lineRule="exact"/>
        <w:ind w:firstLine="480" w:firstLineChars="200"/>
        <w:rPr>
          <w:sz w:val="24"/>
        </w:rPr>
      </w:pPr>
      <w:r>
        <w:rPr>
          <w:sz w:val="24"/>
        </w:rPr>
        <w:t>根据各因子在国有农用地的空间分布形态及其影响土地级别的方式</w:t>
      </w:r>
      <w:r>
        <w:rPr>
          <w:rFonts w:hint="eastAsia"/>
          <w:sz w:val="24"/>
        </w:rPr>
        <w:t>，</w:t>
      </w:r>
      <w:r>
        <w:rPr>
          <w:sz w:val="24"/>
        </w:rPr>
        <w:t>可将其分为三类，即点、线状分布形式和面状分布形式。按其对网格点作用分衰减规律的差异可分为指数衰减和线性衰减两类。</w:t>
      </w:r>
    </w:p>
    <w:p w14:paraId="679A908E">
      <w:pPr>
        <w:pStyle w:val="180"/>
        <w:ind w:firstLine="480"/>
      </w:pPr>
      <w:r>
        <w:rPr>
          <w:rFonts w:hint="eastAsia"/>
        </w:rPr>
        <w:t>（1）因子类型</w:t>
      </w:r>
    </w:p>
    <w:p w14:paraId="33E75424">
      <w:pPr>
        <w:pStyle w:val="180"/>
        <w:ind w:firstLine="480"/>
      </w:pPr>
      <w:r>
        <w:t>1）点状因子</w:t>
      </w:r>
    </w:p>
    <w:p w14:paraId="269C5C32">
      <w:pPr>
        <w:spacing w:line="500" w:lineRule="exact"/>
        <w:ind w:firstLine="480" w:firstLineChars="200"/>
        <w:rPr>
          <w:sz w:val="24"/>
        </w:rPr>
      </w:pPr>
      <w:r>
        <w:rPr>
          <w:sz w:val="24"/>
        </w:rPr>
        <w:t>此类因子具有两个特点：</w:t>
      </w:r>
    </w:p>
    <w:p w14:paraId="2DAE2B62">
      <w:pPr>
        <w:spacing w:line="500" w:lineRule="exact"/>
        <w:ind w:firstLine="480" w:firstLineChars="200"/>
        <w:rPr>
          <w:sz w:val="24"/>
        </w:rPr>
      </w:pPr>
      <w:r>
        <w:rPr>
          <w:sz w:val="24"/>
        </w:rPr>
        <w:fldChar w:fldCharType="begin"/>
      </w:r>
      <w:r>
        <w:rPr>
          <w:sz w:val="24"/>
        </w:rPr>
        <w:instrText xml:space="preserve"> = 1 \* GB3 </w:instrText>
      </w:r>
      <w:r>
        <w:rPr>
          <w:sz w:val="24"/>
        </w:rPr>
        <w:fldChar w:fldCharType="separate"/>
      </w:r>
      <w:r>
        <w:rPr>
          <w:rFonts w:hint="eastAsia"/>
          <w:sz w:val="24"/>
        </w:rPr>
        <w:t>①</w:t>
      </w:r>
      <w:r>
        <w:rPr>
          <w:sz w:val="24"/>
        </w:rPr>
        <w:fldChar w:fldCharType="end"/>
      </w:r>
      <w:r>
        <w:rPr>
          <w:sz w:val="24"/>
        </w:rPr>
        <w:t>因子所依附的客体在城镇中占地面积小，在空间分布上聚集现象明显，呈点状；</w:t>
      </w:r>
    </w:p>
    <w:p w14:paraId="37A955B9">
      <w:pPr>
        <w:pStyle w:val="78"/>
        <w:ind w:firstLine="480"/>
      </w:pPr>
      <w:r>
        <w:rPr>
          <w:spacing w:val="0"/>
          <w:kern w:val="2"/>
          <w:szCs w:val="24"/>
        </w:rPr>
        <w:fldChar w:fldCharType="begin"/>
      </w:r>
      <w:r>
        <w:rPr>
          <w:spacing w:val="0"/>
          <w:kern w:val="2"/>
          <w:szCs w:val="24"/>
        </w:rPr>
        <w:instrText xml:space="preserve"> = 2 \* GB3 </w:instrText>
      </w:r>
      <w:r>
        <w:rPr>
          <w:spacing w:val="0"/>
          <w:kern w:val="2"/>
          <w:szCs w:val="24"/>
        </w:rPr>
        <w:fldChar w:fldCharType="separate"/>
      </w:r>
      <w:r>
        <w:rPr>
          <w:rFonts w:hint="eastAsia"/>
          <w:spacing w:val="0"/>
          <w:kern w:val="2"/>
          <w:szCs w:val="24"/>
        </w:rPr>
        <w:t>②</w:t>
      </w:r>
      <w:r>
        <w:rPr>
          <w:spacing w:val="0"/>
          <w:kern w:val="2"/>
          <w:szCs w:val="24"/>
        </w:rPr>
        <w:fldChar w:fldCharType="end"/>
      </w:r>
      <w:r>
        <w:rPr>
          <w:spacing w:val="0"/>
          <w:kern w:val="2"/>
          <w:szCs w:val="24"/>
        </w:rPr>
        <w:t>因子不仅对其自身客体所在位置上的土地有影响，而且还通过区位的波及性和效益外溢等作用形成一定的区位关系，对其周围地块乃至整个区域土地产生不同影响。这类因素对土地价格的影响随距离呈线性或非线性变化，如农贸市场影响度。</w:t>
      </w:r>
    </w:p>
    <w:p w14:paraId="379D4815">
      <w:pPr>
        <w:spacing w:line="500" w:lineRule="exact"/>
        <w:ind w:firstLine="480" w:firstLineChars="200"/>
        <w:rPr>
          <w:sz w:val="24"/>
        </w:rPr>
      </w:pPr>
      <w:r>
        <w:rPr>
          <w:sz w:val="24"/>
        </w:rPr>
        <w:t>2）线状因子</w:t>
      </w:r>
    </w:p>
    <w:p w14:paraId="55F09969">
      <w:pPr>
        <w:spacing w:line="500" w:lineRule="exact"/>
        <w:ind w:firstLine="480" w:firstLineChars="200"/>
        <w:rPr>
          <w:sz w:val="24"/>
        </w:rPr>
      </w:pPr>
      <w:r>
        <w:rPr>
          <w:sz w:val="24"/>
        </w:rPr>
        <w:t>此类因子形状为线状（或条带状），且对距该因子的基线一定距离内的土地单元有影响的因子，如道路通达度。</w:t>
      </w:r>
    </w:p>
    <w:p w14:paraId="287FBDB2">
      <w:pPr>
        <w:spacing w:line="500" w:lineRule="exact"/>
        <w:ind w:firstLine="480" w:firstLineChars="200"/>
        <w:rPr>
          <w:sz w:val="24"/>
        </w:rPr>
      </w:pPr>
      <w:r>
        <w:rPr>
          <w:sz w:val="24"/>
        </w:rPr>
        <w:t>3）面状因子</w:t>
      </w:r>
    </w:p>
    <w:p w14:paraId="09E2C1D0">
      <w:pPr>
        <w:spacing w:line="500" w:lineRule="exact"/>
        <w:ind w:firstLine="480" w:firstLineChars="200"/>
        <w:rPr>
          <w:sz w:val="24"/>
        </w:rPr>
      </w:pPr>
      <w:r>
        <w:rPr>
          <w:sz w:val="24"/>
        </w:rPr>
        <w:t>此类因子也具有两个特点：</w:t>
      </w:r>
    </w:p>
    <w:p w14:paraId="1CDCFFD9">
      <w:pPr>
        <w:spacing w:line="500" w:lineRule="exact"/>
        <w:ind w:firstLine="480" w:firstLineChars="200"/>
        <w:rPr>
          <w:sz w:val="24"/>
        </w:rPr>
      </w:pPr>
      <w:r>
        <w:rPr>
          <w:sz w:val="24"/>
        </w:rPr>
        <w:fldChar w:fldCharType="begin"/>
      </w:r>
      <w:r>
        <w:rPr>
          <w:sz w:val="24"/>
        </w:rPr>
        <w:instrText xml:space="preserve"> = 1 \* GB3 </w:instrText>
      </w:r>
      <w:r>
        <w:rPr>
          <w:sz w:val="24"/>
        </w:rPr>
        <w:fldChar w:fldCharType="separate"/>
      </w:r>
      <w:r>
        <w:rPr>
          <w:rFonts w:hint="eastAsia" w:ascii="宋体" w:hAnsi="宋体" w:cs="宋体"/>
          <w:sz w:val="24"/>
        </w:rPr>
        <w:t>①</w:t>
      </w:r>
      <w:r>
        <w:rPr>
          <w:sz w:val="24"/>
        </w:rPr>
        <w:fldChar w:fldCharType="end"/>
      </w:r>
      <w:r>
        <w:rPr>
          <w:sz w:val="24"/>
        </w:rPr>
        <w:t>因子所依附的客体在城市中分布面积较大；</w:t>
      </w:r>
    </w:p>
    <w:p w14:paraId="4A502C4C">
      <w:pPr>
        <w:spacing w:line="500" w:lineRule="exact"/>
        <w:ind w:firstLine="480" w:firstLineChars="200"/>
        <w:rPr>
          <w:sz w:val="24"/>
        </w:rPr>
      </w:pPr>
      <w:r>
        <w:rPr>
          <w:sz w:val="24"/>
        </w:rPr>
        <w:fldChar w:fldCharType="begin"/>
      </w:r>
      <w:r>
        <w:rPr>
          <w:sz w:val="24"/>
        </w:rPr>
        <w:instrText xml:space="preserve"> = 2 \* GB3 </w:instrText>
      </w:r>
      <w:r>
        <w:rPr>
          <w:sz w:val="24"/>
        </w:rPr>
        <w:fldChar w:fldCharType="separate"/>
      </w:r>
      <w:r>
        <w:rPr>
          <w:rFonts w:hint="eastAsia" w:ascii="宋体" w:hAnsi="宋体" w:cs="宋体"/>
          <w:sz w:val="24"/>
        </w:rPr>
        <w:t>②</w:t>
      </w:r>
      <w:r>
        <w:rPr>
          <w:sz w:val="24"/>
        </w:rPr>
        <w:fldChar w:fldCharType="end"/>
      </w:r>
      <w:r>
        <w:rPr>
          <w:sz w:val="24"/>
        </w:rPr>
        <w:t>因子仅对其自身客体所在位置产生影响，而对周围的地块基本无外溢的影响。如表层土壤质地、土壤有机质含量等。</w:t>
      </w:r>
    </w:p>
    <w:p w14:paraId="0B34BC0B">
      <w:pPr>
        <w:pStyle w:val="180"/>
        <w:ind w:firstLine="480"/>
      </w:pPr>
      <w:r>
        <w:rPr>
          <w:rFonts w:hint="eastAsia"/>
        </w:rPr>
        <w:t>（2）</w:t>
      </w:r>
      <w:r>
        <w:t>因子作用分值计算方法</w:t>
      </w:r>
    </w:p>
    <w:p w14:paraId="0F0280DE">
      <w:pPr>
        <w:spacing w:line="500" w:lineRule="exact"/>
        <w:ind w:firstLine="480" w:firstLineChars="200"/>
        <w:rPr>
          <w:sz w:val="24"/>
        </w:rPr>
      </w:pPr>
      <w:r>
        <w:rPr>
          <w:sz w:val="24"/>
        </w:rPr>
        <w:t>1）点、线状因子分值计算方法</w:t>
      </w:r>
    </w:p>
    <w:p w14:paraId="5169C78E">
      <w:pPr>
        <w:spacing w:line="500" w:lineRule="exact"/>
        <w:ind w:firstLine="480" w:firstLineChars="200"/>
        <w:rPr>
          <w:sz w:val="24"/>
        </w:rPr>
      </w:pPr>
      <w:r>
        <w:rPr>
          <w:sz w:val="24"/>
        </w:rPr>
        <w:t>属于本类的土地定级因子，其影响既与因素有关的设施的区位有关，又与具体地块和设施的相对距离有关，其定量化方法为：先在各因子内按规模或类型求出各点线设施的相对功能分，最大为100；然后根据因素的类型或规模，计算其作用或平均影响范围，并划分若干相对距离区间；最后根据因子的影响随距离衰减具有不同规律的特点，选择不同的数学模型，计算各相对距离上的因素作用分。一般常用的计算模型有线性和指数两种。</w:t>
      </w:r>
    </w:p>
    <w:p w14:paraId="34502DA5">
      <w:pPr>
        <w:autoSpaceDE w:val="0"/>
        <w:autoSpaceDN w:val="0"/>
        <w:adjustRightInd w:val="0"/>
        <w:ind w:firstLine="480" w:firstLineChars="200"/>
        <w:rPr>
          <w:sz w:val="24"/>
        </w:rPr>
      </w:pPr>
      <w:r>
        <w:rPr>
          <w:sz w:val="24"/>
        </w:rPr>
        <w:fldChar w:fldCharType="begin"/>
      </w:r>
      <w:r>
        <w:rPr>
          <w:sz w:val="24"/>
        </w:rPr>
        <w:instrText xml:space="preserve"> = 1 \* GB3 </w:instrText>
      </w:r>
      <w:r>
        <w:rPr>
          <w:sz w:val="24"/>
        </w:rPr>
        <w:fldChar w:fldCharType="separate"/>
      </w:r>
      <w:r>
        <w:rPr>
          <w:rFonts w:hint="eastAsia" w:ascii="宋体" w:hAnsi="宋体" w:cs="宋体"/>
          <w:sz w:val="24"/>
        </w:rPr>
        <w:t>①</w:t>
      </w:r>
      <w:r>
        <w:rPr>
          <w:sz w:val="24"/>
        </w:rPr>
        <w:fldChar w:fldCharType="end"/>
      </w:r>
      <w:r>
        <w:rPr>
          <w:sz w:val="24"/>
        </w:rPr>
        <w:t>线性衰减模型</w:t>
      </w:r>
    </w:p>
    <w:p w14:paraId="7E08E06F">
      <w:pPr>
        <w:autoSpaceDE w:val="0"/>
        <w:autoSpaceDN w:val="0"/>
        <w:snapToGrid w:val="0"/>
        <w:ind w:firstLine="480" w:firstLineChars="200"/>
        <w:jc w:val="center"/>
        <w:rPr>
          <w:sz w:val="24"/>
        </w:rPr>
      </w:pPr>
      <w:r>
        <w:rPr>
          <w:sz w:val="24"/>
        </w:rPr>
        <w:object>
          <v:shape id="_x0000_i1027" o:spt="75" type="#_x0000_t75" style="height:19.5pt;width:89.25pt;" o:ole="t" filled="f" o:preferrelative="t" stroked="f" coordsize="21600,21600">
            <v:path/>
            <v:fill on="f" focussize="0,0"/>
            <v:stroke on="f" joinstyle="miter"/>
            <v:imagedata r:id="rId17" o:title=""/>
            <o:lock v:ext="edit" aspectratio="t"/>
            <w10:wrap type="none"/>
            <w10:anchorlock/>
          </v:shape>
          <o:OLEObject Type="Embed" ProgID="Equation.DSMT4" ShapeID="_x0000_i1027" DrawAspect="Content" ObjectID="_1468075727" r:id="rId16">
            <o:LockedField>false</o:LockedField>
          </o:OLEObject>
        </w:object>
      </w:r>
    </w:p>
    <w:p w14:paraId="0519EE3D">
      <w:pPr>
        <w:autoSpaceDE w:val="0"/>
        <w:autoSpaceDN w:val="0"/>
        <w:adjustRightInd w:val="0"/>
        <w:spacing w:line="500" w:lineRule="exact"/>
        <w:ind w:firstLine="480" w:firstLineChars="200"/>
        <w:rPr>
          <w:sz w:val="24"/>
        </w:rPr>
      </w:pPr>
      <w:r>
        <w:rPr>
          <w:sz w:val="24"/>
        </w:rPr>
        <w:t>其中，</w:t>
      </w:r>
      <w:r>
        <w:rPr>
          <w:sz w:val="24"/>
        </w:rPr>
        <w:object>
          <v:shape id="_x0000_i1028" o:spt="75" type="#_x0000_t75" style="height:16.5pt;width:12pt;" o:ole="t" filled="f" o:preferrelative="t" stroked="f" coordsize="21600,21600">
            <v:path/>
            <v:fill on="f" focussize="0,0"/>
            <v:stroke on="f" joinstyle="miter"/>
            <v:imagedata r:id="rId19" o:title=""/>
            <o:lock v:ext="edit" aspectratio="t"/>
            <w10:wrap type="none"/>
            <w10:anchorlock/>
          </v:shape>
          <o:OLEObject Type="Embed" ProgID="Equation.DSMT4" ShapeID="_x0000_i1028" DrawAspect="Content" ObjectID="_1468075728" r:id="rId18">
            <o:LockedField>false</o:LockedField>
          </o:OLEObject>
        </w:object>
      </w:r>
      <w:r>
        <w:rPr>
          <w:sz w:val="24"/>
        </w:rPr>
        <w:t>—土地单元作用分值；</w:t>
      </w:r>
    </w:p>
    <w:p w14:paraId="5AE62E07">
      <w:pPr>
        <w:autoSpaceDE w:val="0"/>
        <w:autoSpaceDN w:val="0"/>
        <w:adjustRightInd w:val="0"/>
        <w:spacing w:line="500" w:lineRule="exact"/>
        <w:ind w:firstLine="1200" w:firstLineChars="500"/>
        <w:rPr>
          <w:sz w:val="24"/>
        </w:rPr>
      </w:pPr>
      <w:r>
        <w:rPr>
          <w:sz w:val="24"/>
        </w:rPr>
        <w:object>
          <v:shape id="_x0000_i1029" o:spt="75" type="#_x0000_t75" style="height:12.75pt;width:12.75pt;" o:ole="t" filled="f" o:preferrelative="t" stroked="f" coordsize="21600,21600">
            <v:path/>
            <v:fill on="f" focussize="0,0"/>
            <v:stroke on="f" joinstyle="miter"/>
            <v:imagedata r:id="rId21" o:title=""/>
            <o:lock v:ext="edit" aspectratio="t"/>
            <w10:wrap type="none"/>
            <w10:anchorlock/>
          </v:shape>
          <o:OLEObject Type="Embed" ProgID="Equation.DSMT4" ShapeID="_x0000_i1029" DrawAspect="Content" ObjectID="_1468075729" r:id="rId20">
            <o:LockedField>false</o:LockedField>
          </o:OLEObject>
        </w:object>
      </w:r>
      <w:r>
        <w:rPr>
          <w:sz w:val="24"/>
        </w:rPr>
        <w:t>—因子的初始等级分；</w:t>
      </w:r>
    </w:p>
    <w:p w14:paraId="6785DD8A">
      <w:pPr>
        <w:autoSpaceDE w:val="0"/>
        <w:autoSpaceDN w:val="0"/>
        <w:adjustRightInd w:val="0"/>
        <w:spacing w:line="500" w:lineRule="exact"/>
        <w:ind w:firstLine="1200" w:firstLineChars="500"/>
        <w:rPr>
          <w:sz w:val="24"/>
        </w:rPr>
      </w:pPr>
      <w:r>
        <w:rPr>
          <w:sz w:val="24"/>
        </w:rPr>
        <w:object>
          <v:shape id="_x0000_i1030" o:spt="75" type="#_x0000_t75" style="height:12.75pt;width:12pt;" o:ole="t" filled="f" o:preferrelative="t" stroked="f" coordsize="21600,21600">
            <v:path/>
            <v:fill on="f" focussize="0,0"/>
            <v:stroke on="f" joinstyle="miter"/>
            <v:imagedata r:id="rId23" o:title=""/>
            <o:lock v:ext="edit" aspectratio="t"/>
            <w10:wrap type="none"/>
            <w10:anchorlock/>
          </v:shape>
          <o:OLEObject Type="Embed" ProgID="Equation.DSMT4" ShapeID="_x0000_i1030" DrawAspect="Content" ObjectID="_1468075730" r:id="rId22">
            <o:LockedField>false</o:LockedField>
          </o:OLEObject>
        </w:object>
      </w:r>
      <w:r>
        <w:rPr>
          <w:sz w:val="24"/>
        </w:rPr>
        <w:t>— 因子的影响半径；</w:t>
      </w:r>
    </w:p>
    <w:p w14:paraId="12B4CDBE">
      <w:pPr>
        <w:autoSpaceDE w:val="0"/>
        <w:autoSpaceDN w:val="0"/>
        <w:adjustRightInd w:val="0"/>
        <w:spacing w:line="500" w:lineRule="exact"/>
        <w:ind w:firstLine="1200" w:firstLineChars="500"/>
        <w:rPr>
          <w:sz w:val="24"/>
        </w:rPr>
      </w:pPr>
      <w:r>
        <w:rPr>
          <w:sz w:val="24"/>
        </w:rPr>
        <w:object>
          <v:shape id="_x0000_i1031" o:spt="75" type="#_x0000_t75" style="height:13.5pt;width:11.25pt;" o:ole="t" filled="f" o:preferrelative="t" stroked="f" coordsize="21600,21600">
            <v:path/>
            <v:fill on="f" focussize="0,0"/>
            <v:stroke on="f" joinstyle="miter"/>
            <v:imagedata r:id="rId25" o:title=""/>
            <o:lock v:ext="edit" aspectratio="t"/>
            <w10:wrap type="none"/>
            <w10:anchorlock/>
          </v:shape>
          <o:OLEObject Type="Embed" ProgID="Equation.DSMT4" ShapeID="_x0000_i1031" DrawAspect="Content" ObjectID="_1468075731" r:id="rId24">
            <o:LockedField>false</o:LockedField>
          </o:OLEObject>
        </w:object>
      </w:r>
      <w:r>
        <w:rPr>
          <w:sz w:val="24"/>
        </w:rPr>
        <w:t>—土地单元到因子的距离。</w:t>
      </w:r>
    </w:p>
    <w:p w14:paraId="621BB29E">
      <w:pPr>
        <w:autoSpaceDE w:val="0"/>
        <w:autoSpaceDN w:val="0"/>
        <w:adjustRightInd w:val="0"/>
        <w:spacing w:line="500" w:lineRule="exact"/>
        <w:ind w:firstLine="480" w:firstLineChars="200"/>
        <w:rPr>
          <w:sz w:val="24"/>
        </w:rPr>
      </w:pPr>
      <w:r>
        <w:rPr>
          <w:sz w:val="24"/>
        </w:rPr>
        <w:fldChar w:fldCharType="begin"/>
      </w:r>
      <w:r>
        <w:rPr>
          <w:sz w:val="24"/>
        </w:rPr>
        <w:instrText xml:space="preserve"> = 2 \* GB3 </w:instrText>
      </w:r>
      <w:r>
        <w:rPr>
          <w:sz w:val="24"/>
        </w:rPr>
        <w:fldChar w:fldCharType="separate"/>
      </w:r>
      <w:r>
        <w:rPr>
          <w:rFonts w:hint="eastAsia" w:ascii="宋体" w:hAnsi="宋体" w:cs="宋体"/>
          <w:sz w:val="24"/>
        </w:rPr>
        <w:t>②</w:t>
      </w:r>
      <w:r>
        <w:rPr>
          <w:sz w:val="24"/>
        </w:rPr>
        <w:fldChar w:fldCharType="end"/>
      </w:r>
      <w:r>
        <w:rPr>
          <w:sz w:val="24"/>
        </w:rPr>
        <w:t>指数衰减模型</w:t>
      </w:r>
    </w:p>
    <w:p w14:paraId="67B8C44E">
      <w:pPr>
        <w:autoSpaceDE w:val="0"/>
        <w:autoSpaceDN w:val="0"/>
        <w:adjustRightInd w:val="0"/>
        <w:snapToGrid w:val="0"/>
        <w:ind w:firstLine="480" w:firstLineChars="200"/>
        <w:jc w:val="center"/>
        <w:rPr>
          <w:sz w:val="24"/>
        </w:rPr>
      </w:pPr>
      <w:r>
        <w:rPr>
          <w:sz w:val="24"/>
        </w:rPr>
        <w:object>
          <v:shape id="_x0000_i1032" o:spt="75" type="#_x0000_t75" style="height:18.75pt;width:57.75pt;" o:ole="t" filled="f" o:preferrelative="t" stroked="f" coordsize="21600,21600">
            <v:path/>
            <v:fill on="f" focussize="0,0"/>
            <v:stroke on="f" joinstyle="miter"/>
            <v:imagedata r:id="rId27" o:title=""/>
            <o:lock v:ext="edit" aspectratio="t"/>
            <w10:wrap type="none"/>
            <w10:anchorlock/>
          </v:shape>
          <o:OLEObject Type="Embed" ProgID="Equation.DSMT4" ShapeID="_x0000_i1032" DrawAspect="Content" ObjectID="_1468075732" r:id="rId26">
            <o:LockedField>false</o:LockedField>
          </o:OLEObject>
        </w:object>
      </w:r>
    </w:p>
    <w:p w14:paraId="21D773F6">
      <w:pPr>
        <w:autoSpaceDE w:val="0"/>
        <w:autoSpaceDN w:val="0"/>
        <w:adjustRightInd w:val="0"/>
        <w:spacing w:line="500" w:lineRule="exact"/>
        <w:ind w:firstLine="480" w:firstLineChars="200"/>
        <w:rPr>
          <w:sz w:val="24"/>
        </w:rPr>
      </w:pPr>
      <w:r>
        <w:rPr>
          <w:sz w:val="24"/>
        </w:rPr>
        <w:t>其中，参数含义同上。</w:t>
      </w:r>
    </w:p>
    <w:p w14:paraId="61FA514B">
      <w:pPr>
        <w:autoSpaceDE w:val="0"/>
        <w:autoSpaceDN w:val="0"/>
        <w:adjustRightInd w:val="0"/>
        <w:spacing w:line="500" w:lineRule="exact"/>
        <w:ind w:firstLine="480" w:firstLineChars="200"/>
        <w:rPr>
          <w:sz w:val="24"/>
        </w:rPr>
      </w:pPr>
      <w:r>
        <w:rPr>
          <w:sz w:val="24"/>
        </w:rPr>
        <w:t>2）面状因子分值计算方法</w:t>
      </w:r>
    </w:p>
    <w:p w14:paraId="65E8BB81">
      <w:pPr>
        <w:autoSpaceDE w:val="0"/>
        <w:autoSpaceDN w:val="0"/>
        <w:adjustRightInd w:val="0"/>
        <w:spacing w:line="500" w:lineRule="exact"/>
        <w:ind w:firstLine="480" w:firstLineChars="200"/>
        <w:rPr>
          <w:sz w:val="24"/>
        </w:rPr>
      </w:pPr>
      <w:r>
        <w:rPr>
          <w:sz w:val="24"/>
        </w:rPr>
        <w:t>对于面状因子对土地级别影响方式有两种:</w:t>
      </w:r>
    </w:p>
    <w:p w14:paraId="2339B077">
      <w:pPr>
        <w:spacing w:line="500" w:lineRule="exact"/>
        <w:ind w:firstLine="480" w:firstLineChars="200"/>
        <w:rPr>
          <w:sz w:val="24"/>
        </w:rPr>
      </w:pPr>
      <w:r>
        <w:rPr>
          <w:sz w:val="24"/>
        </w:rPr>
        <w:fldChar w:fldCharType="begin"/>
      </w:r>
      <w:r>
        <w:rPr>
          <w:sz w:val="24"/>
        </w:rPr>
        <w:instrText xml:space="preserve"> = 1 \* GB3 </w:instrText>
      </w:r>
      <w:r>
        <w:rPr>
          <w:sz w:val="24"/>
        </w:rPr>
        <w:fldChar w:fldCharType="separate"/>
      </w:r>
      <w:r>
        <w:rPr>
          <w:rFonts w:hint="eastAsia" w:ascii="宋体" w:hAnsi="宋体" w:cs="宋体"/>
          <w:sz w:val="24"/>
        </w:rPr>
        <w:t>①</w:t>
      </w:r>
      <w:r>
        <w:rPr>
          <w:sz w:val="24"/>
        </w:rPr>
        <w:fldChar w:fldCharType="end"/>
      </w:r>
      <w:r>
        <w:rPr>
          <w:sz w:val="24"/>
        </w:rPr>
        <w:t>面状衰减影响。此类因子对单元的作用分值计算可以转化为点线状因子分值计算方法。</w:t>
      </w:r>
    </w:p>
    <w:p w14:paraId="2049171E">
      <w:pPr>
        <w:spacing w:line="500" w:lineRule="exact"/>
        <w:ind w:firstLine="480" w:firstLineChars="200"/>
        <w:rPr>
          <w:sz w:val="24"/>
        </w:rPr>
      </w:pPr>
      <w:r>
        <w:rPr>
          <w:sz w:val="24"/>
        </w:rPr>
        <w:fldChar w:fldCharType="begin"/>
      </w:r>
      <w:r>
        <w:rPr>
          <w:sz w:val="24"/>
        </w:rPr>
        <w:instrText xml:space="preserve"> = 2 \* GB3 </w:instrText>
      </w:r>
      <w:r>
        <w:rPr>
          <w:sz w:val="24"/>
        </w:rPr>
        <w:fldChar w:fldCharType="separate"/>
      </w:r>
      <w:r>
        <w:rPr>
          <w:rFonts w:hint="eastAsia" w:ascii="宋体" w:hAnsi="宋体" w:cs="宋体"/>
          <w:sz w:val="24"/>
        </w:rPr>
        <w:t>②</w:t>
      </w:r>
      <w:r>
        <w:rPr>
          <w:sz w:val="24"/>
        </w:rPr>
        <w:fldChar w:fldCharType="end"/>
      </w:r>
      <w:r>
        <w:rPr>
          <w:sz w:val="24"/>
        </w:rPr>
        <w:t>面状覆盖影响。如供水状况只对因子覆盖区域产生影响的因子，其定量化方法为：先对各因子资料进行整理，按因子与土地质量相关性的特点，计算出各定级单元的因子指标值，对超出显著区间的各土地因子指标值，按显著区间内的最高值或最低值处理；然后，用数学模型求出各土地因子指标的作用分值。一般常用的覆盖模型为：</w:t>
      </w:r>
    </w:p>
    <w:p w14:paraId="7890BD50">
      <w:pPr>
        <w:autoSpaceDE w:val="0"/>
        <w:autoSpaceDN w:val="0"/>
        <w:adjustRightInd w:val="0"/>
        <w:snapToGrid w:val="0"/>
        <w:ind w:firstLine="482"/>
        <w:jc w:val="center"/>
        <w:rPr>
          <w:sz w:val="24"/>
        </w:rPr>
      </w:pPr>
      <w:r>
        <w:rPr>
          <w:sz w:val="24"/>
        </w:rPr>
        <w:object>
          <v:shape id="_x0000_i1033" o:spt="75" type="#_x0000_t75" style="height:19.5pt;width:178.5pt;" o:ole="t" filled="f" o:preferrelative="t" stroked="f" coordsize="21600,21600">
            <v:path/>
            <v:fill on="f" focussize="0,0"/>
            <v:stroke on="f" joinstyle="miter"/>
            <v:imagedata r:id="rId29" o:title=""/>
            <o:lock v:ext="edit" aspectratio="t"/>
            <w10:wrap type="none"/>
            <w10:anchorlock/>
          </v:shape>
          <o:OLEObject Type="Embed" ProgID="Equation.DSMT4" ShapeID="_x0000_i1033" DrawAspect="Content" ObjectID="_1468075733" r:id="rId28">
            <o:LockedField>false</o:LockedField>
          </o:OLEObject>
        </w:object>
      </w:r>
    </w:p>
    <w:p w14:paraId="16B025D3">
      <w:pPr>
        <w:autoSpaceDE w:val="0"/>
        <w:autoSpaceDN w:val="0"/>
        <w:adjustRightInd w:val="0"/>
        <w:ind w:firstLine="480" w:firstLineChars="200"/>
        <w:rPr>
          <w:sz w:val="24"/>
        </w:rPr>
      </w:pPr>
      <w:r>
        <w:rPr>
          <w:sz w:val="24"/>
        </w:rPr>
        <w:t>其中，</w:t>
      </w:r>
      <w:r>
        <w:rPr>
          <w:sz w:val="24"/>
        </w:rPr>
        <w:object>
          <v:shape id="_x0000_i1034" o:spt="75" type="#_x0000_t75" style="height:18.75pt;width:12pt;" o:ole="t" filled="f" o:preferrelative="t" stroked="f" coordsize="21600,21600">
            <v:path/>
            <v:fill on="f" focussize="0,0"/>
            <v:stroke on="f" joinstyle="miter"/>
            <v:imagedata r:id="rId31" o:title=""/>
            <o:lock v:ext="edit" aspectratio="t"/>
            <w10:wrap type="none"/>
            <w10:anchorlock/>
          </v:shape>
          <o:OLEObject Type="Embed" ProgID="Equation.DSMT4" ShapeID="_x0000_i1034" DrawAspect="Content" ObjectID="_1468075734" r:id="rId30">
            <o:LockedField>false</o:LockedField>
          </o:OLEObject>
        </w:object>
      </w:r>
      <w:r>
        <w:rPr>
          <w:sz w:val="24"/>
        </w:rPr>
        <w:t xml:space="preserve"> —某土地单元作用分值；</w:t>
      </w:r>
    </w:p>
    <w:p w14:paraId="5494D733">
      <w:pPr>
        <w:autoSpaceDE w:val="0"/>
        <w:autoSpaceDN w:val="0"/>
        <w:adjustRightInd w:val="0"/>
        <w:ind w:firstLine="1200" w:firstLineChars="500"/>
        <w:rPr>
          <w:sz w:val="24"/>
        </w:rPr>
      </w:pPr>
      <w:r>
        <w:rPr>
          <w:sz w:val="24"/>
        </w:rPr>
        <w:object>
          <v:shape id="_x0000_i1035" o:spt="75" type="#_x0000_t75" style="height:18.75pt;width:15.75pt;" o:ole="t" filled="f" o:preferrelative="t" stroked="f" coordsize="21600,21600">
            <v:path/>
            <v:fill on="f" focussize="0,0"/>
            <v:stroke on="f" joinstyle="miter"/>
            <v:imagedata r:id="rId33" o:title=""/>
            <o:lock v:ext="edit" aspectratio="t"/>
            <w10:wrap type="none"/>
            <w10:anchorlock/>
          </v:shape>
          <o:OLEObject Type="Embed" ProgID="Equation.DSMT4" ShapeID="_x0000_i1035" DrawAspect="Content" ObjectID="_1468075735" r:id="rId32">
            <o:LockedField>false</o:LockedField>
          </o:OLEObject>
        </w:object>
      </w:r>
      <w:r>
        <w:rPr>
          <w:sz w:val="24"/>
        </w:rPr>
        <w:t>、</w:t>
      </w:r>
      <w:r>
        <w:rPr>
          <w:sz w:val="24"/>
        </w:rPr>
        <w:object>
          <v:shape id="_x0000_i1036" o:spt="75" type="#_x0000_t75" style="height:18.75pt;width:24.75pt;" o:ole="t" filled="f" o:preferrelative="t" stroked="f" coordsize="21600,21600">
            <v:path/>
            <v:fill on="f" focussize="0,0"/>
            <v:stroke on="f" joinstyle="miter"/>
            <v:imagedata r:id="rId35" o:title=""/>
            <o:lock v:ext="edit" aspectratio="t"/>
            <w10:wrap type="none"/>
            <w10:anchorlock/>
          </v:shape>
          <o:OLEObject Type="Embed" ProgID="Equation.DSMT4" ShapeID="_x0000_i1036" DrawAspect="Content" ObjectID="_1468075736" r:id="rId34">
            <o:LockedField>false</o:LockedField>
          </o:OLEObject>
        </w:object>
      </w:r>
      <w:r>
        <w:rPr>
          <w:sz w:val="24"/>
        </w:rPr>
        <w:t>、</w:t>
      </w:r>
      <w:r>
        <w:rPr>
          <w:sz w:val="24"/>
        </w:rPr>
        <w:object>
          <v:shape id="_x0000_i1037" o:spt="75" type="#_x0000_t75" style="height:18.75pt;width:24.75pt;" o:ole="t" filled="f" o:preferrelative="t" stroked="f" coordsize="21600,21600">
            <v:path/>
            <v:fill on="f" focussize="0,0"/>
            <v:stroke on="f" joinstyle="miter"/>
            <v:imagedata r:id="rId37" o:title=""/>
            <o:lock v:ext="edit" aspectratio="t"/>
            <w10:wrap type="none"/>
            <w10:anchorlock/>
          </v:shape>
          <o:OLEObject Type="Embed" ProgID="Equation.DSMT4" ShapeID="_x0000_i1037" DrawAspect="Content" ObjectID="_1468075737" r:id="rId36">
            <o:LockedField>false</o:LockedField>
          </o:OLEObject>
        </w:object>
      </w:r>
      <w:r>
        <w:rPr>
          <w:sz w:val="24"/>
        </w:rPr>
        <w:t>—某土地因子指标值和指标最小、最大值。</w:t>
      </w:r>
    </w:p>
    <w:p w14:paraId="53C0BB55">
      <w:pPr>
        <w:pStyle w:val="180"/>
        <w:ind w:firstLine="480"/>
      </w:pPr>
      <w:r>
        <w:rPr>
          <w:rFonts w:hint="eastAsia"/>
        </w:rPr>
        <w:t>（3）</w:t>
      </w:r>
      <w:r>
        <w:t>辐射影响因子作用半径计算方法</w:t>
      </w:r>
    </w:p>
    <w:p w14:paraId="073C4326">
      <w:pPr>
        <w:spacing w:line="500" w:lineRule="exact"/>
        <w:ind w:firstLine="480" w:firstLineChars="200"/>
        <w:rPr>
          <w:sz w:val="24"/>
        </w:rPr>
      </w:pPr>
      <w:r>
        <w:rPr>
          <w:sz w:val="24"/>
        </w:rPr>
        <w:t>辐射影响因子主要是点线因子，首先计算因素内各相同规模或类型的点、线因素的平均作用或平均吸引范围，量取因子到影响范围边界的距离即作用半径。</w:t>
      </w:r>
    </w:p>
    <w:p w14:paraId="1D50B9D2">
      <w:pPr>
        <w:autoSpaceDE w:val="0"/>
        <w:autoSpaceDN w:val="0"/>
        <w:adjustRightInd w:val="0"/>
        <w:spacing w:line="500" w:lineRule="exact"/>
        <w:ind w:firstLine="480" w:firstLineChars="200"/>
        <w:rPr>
          <w:sz w:val="24"/>
        </w:rPr>
      </w:pPr>
      <w:r>
        <w:rPr>
          <w:sz w:val="24"/>
        </w:rPr>
        <w:t>1）点状因子作用半径计算公式</w:t>
      </w:r>
    </w:p>
    <w:p w14:paraId="083C9CB2">
      <w:pPr>
        <w:autoSpaceDE w:val="0"/>
        <w:autoSpaceDN w:val="0"/>
        <w:adjustRightInd w:val="0"/>
        <w:snapToGrid w:val="0"/>
        <w:ind w:firstLine="352" w:firstLineChars="147"/>
        <w:jc w:val="center"/>
        <w:rPr>
          <w:sz w:val="24"/>
        </w:rPr>
      </w:pPr>
      <w:r>
        <w:rPr>
          <w:sz w:val="24"/>
        </w:rPr>
        <w:object>
          <v:shape id="_x0000_i1038" o:spt="75" type="#_x0000_t75" style="height:19.5pt;width:69.75pt;" o:ole="t" filled="f" o:preferrelative="t" stroked="f" coordsize="21600,21600">
            <v:path/>
            <v:fill on="f" focussize="0,0"/>
            <v:stroke on="f" joinstyle="miter"/>
            <v:imagedata r:id="rId39" o:title=""/>
            <o:lock v:ext="edit" aspectratio="t"/>
            <w10:wrap type="none"/>
            <w10:anchorlock/>
          </v:shape>
          <o:OLEObject Type="Embed" ProgID="Equation.DSMT4" ShapeID="_x0000_i1038" DrawAspect="Content" ObjectID="_1468075738" r:id="rId38">
            <o:LockedField>false</o:LockedField>
          </o:OLEObject>
        </w:object>
      </w:r>
    </w:p>
    <w:p w14:paraId="720EFE9A">
      <w:pPr>
        <w:autoSpaceDE w:val="0"/>
        <w:autoSpaceDN w:val="0"/>
        <w:adjustRightInd w:val="0"/>
        <w:spacing w:line="500" w:lineRule="exact"/>
        <w:ind w:firstLine="352" w:firstLineChars="147"/>
        <w:rPr>
          <w:sz w:val="24"/>
        </w:rPr>
      </w:pPr>
      <w:r>
        <w:rPr>
          <w:sz w:val="24"/>
        </w:rPr>
        <w:t>式中：</w:t>
      </w:r>
      <w:r>
        <w:rPr>
          <w:sz w:val="24"/>
        </w:rPr>
        <w:object>
          <v:shape id="_x0000_i1039" o:spt="75" type="#_x0000_t75" style="height:12.75pt;width:12.75pt;" o:ole="t" filled="f" o:preferrelative="t" stroked="f" coordsize="21600,21600">
            <v:path/>
            <v:fill on="f" focussize="0,0"/>
            <v:stroke on="f" joinstyle="miter"/>
            <v:imagedata r:id="rId41" o:title=""/>
            <o:lock v:ext="edit" aspectratio="t"/>
            <w10:wrap type="none"/>
            <w10:anchorlock/>
          </v:shape>
          <o:OLEObject Type="Embed" ProgID="Equation.DSMT4" ShapeID="_x0000_i1039" DrawAspect="Content" ObjectID="_1468075739" r:id="rId40">
            <o:LockedField>false</o:LockedField>
          </o:OLEObject>
        </w:object>
      </w:r>
      <w:r>
        <w:rPr>
          <w:sz w:val="24"/>
        </w:rPr>
        <w:t>—某级因子的服务半径</w:t>
      </w:r>
    </w:p>
    <w:p w14:paraId="6845DC4C">
      <w:pPr>
        <w:autoSpaceDE w:val="0"/>
        <w:autoSpaceDN w:val="0"/>
        <w:adjustRightInd w:val="0"/>
        <w:spacing w:line="500" w:lineRule="exact"/>
        <w:ind w:firstLine="1072" w:firstLineChars="447"/>
        <w:rPr>
          <w:sz w:val="24"/>
        </w:rPr>
      </w:pPr>
      <w:r>
        <w:rPr>
          <w:sz w:val="24"/>
        </w:rPr>
        <w:object>
          <v:shape id="_x0000_i1040" o:spt="75" type="#_x0000_t75" style="height:13.5pt;width:11.25pt;" o:ole="t" filled="f" o:preferrelative="t" stroked="f" coordsize="21600,21600">
            <v:path/>
            <v:fill on="f" focussize="0,0"/>
            <v:stroke on="f" joinstyle="miter"/>
            <v:imagedata r:id="rId43" o:title=""/>
            <o:lock v:ext="edit" aspectratio="t"/>
            <w10:wrap type="none"/>
            <w10:anchorlock/>
          </v:shape>
          <o:OLEObject Type="Embed" ProgID="Equation.DSMT4" ShapeID="_x0000_i1040" DrawAspect="Content" ObjectID="_1468075740" r:id="rId42">
            <o:LockedField>false</o:LockedField>
          </o:OLEObject>
        </w:object>
      </w:r>
      <w:r>
        <w:rPr>
          <w:sz w:val="24"/>
        </w:rPr>
        <w:t>—定级范围面积</w:t>
      </w:r>
    </w:p>
    <w:p w14:paraId="4B134BC3">
      <w:pPr>
        <w:autoSpaceDE w:val="0"/>
        <w:autoSpaceDN w:val="0"/>
        <w:adjustRightInd w:val="0"/>
        <w:spacing w:line="500" w:lineRule="exact"/>
        <w:ind w:firstLine="1072" w:firstLineChars="447"/>
        <w:rPr>
          <w:sz w:val="24"/>
        </w:rPr>
      </w:pPr>
      <w:r>
        <w:rPr>
          <w:sz w:val="24"/>
        </w:rPr>
        <w:object>
          <v:shape id="_x0000_i1041" o:spt="75" type="#_x0000_t75" style="height:11.25pt;width:11.25pt;" o:ole="t" filled="f" o:preferrelative="t" stroked="f" coordsize="21600,21600">
            <v:path/>
            <v:fill on="f" focussize="0,0"/>
            <v:stroke on="f" joinstyle="miter"/>
            <v:imagedata r:id="rId45" o:title=""/>
            <o:lock v:ext="edit" aspectratio="t"/>
            <w10:wrap type="none"/>
            <w10:anchorlock/>
          </v:shape>
          <o:OLEObject Type="Embed" ProgID="Equation.DSMT4" ShapeID="_x0000_i1041" DrawAspect="Content" ObjectID="_1468075741" r:id="rId44">
            <o:LockedField>false</o:LockedField>
          </o:OLEObject>
        </w:object>
      </w:r>
      <w:r>
        <w:rPr>
          <w:sz w:val="24"/>
        </w:rPr>
        <w:t>—某级因子的数量</w:t>
      </w:r>
    </w:p>
    <w:p w14:paraId="6AC5AF2B">
      <w:pPr>
        <w:autoSpaceDE w:val="0"/>
        <w:autoSpaceDN w:val="0"/>
        <w:adjustRightInd w:val="0"/>
        <w:spacing w:line="500" w:lineRule="exact"/>
        <w:ind w:firstLine="480" w:firstLineChars="200"/>
        <w:rPr>
          <w:sz w:val="24"/>
        </w:rPr>
      </w:pPr>
      <w:r>
        <w:rPr>
          <w:sz w:val="24"/>
        </w:rPr>
        <w:t>2）线状因子作用半径计算公式</w:t>
      </w:r>
    </w:p>
    <w:p w14:paraId="2E55AE2B">
      <w:pPr>
        <w:autoSpaceDE w:val="0"/>
        <w:autoSpaceDN w:val="0"/>
        <w:adjustRightInd w:val="0"/>
        <w:snapToGrid w:val="0"/>
        <w:ind w:firstLine="352" w:firstLineChars="147"/>
        <w:jc w:val="center"/>
        <w:rPr>
          <w:sz w:val="24"/>
        </w:rPr>
      </w:pPr>
      <w:r>
        <w:rPr>
          <w:sz w:val="24"/>
        </w:rPr>
        <w:object>
          <v:shape id="_x0000_i1042" o:spt="75" type="#_x0000_t75" style="height:17.25pt;width:51.75pt;" o:ole="t" filled="f" o:preferrelative="t" stroked="f" coordsize="21600,21600">
            <v:path/>
            <v:fill on="f" focussize="0,0"/>
            <v:stroke on="f" joinstyle="miter"/>
            <v:imagedata r:id="rId47" o:title=""/>
            <o:lock v:ext="edit" aspectratio="t"/>
            <w10:wrap type="none"/>
            <w10:anchorlock/>
          </v:shape>
          <o:OLEObject Type="Embed" ProgID="Equation.DSMT4" ShapeID="_x0000_i1042" DrawAspect="Content" ObjectID="_1468075742" r:id="rId46">
            <o:LockedField>false</o:LockedField>
          </o:OLEObject>
        </w:object>
      </w:r>
    </w:p>
    <w:p w14:paraId="349BA19E">
      <w:pPr>
        <w:autoSpaceDE w:val="0"/>
        <w:autoSpaceDN w:val="0"/>
        <w:adjustRightInd w:val="0"/>
        <w:spacing w:line="500" w:lineRule="exact"/>
        <w:ind w:firstLine="592" w:firstLineChars="247"/>
        <w:rPr>
          <w:sz w:val="24"/>
        </w:rPr>
      </w:pPr>
      <w:r>
        <w:rPr>
          <w:sz w:val="24"/>
        </w:rPr>
        <w:t>式中：</w:t>
      </w:r>
      <w:r>
        <w:rPr>
          <w:sz w:val="24"/>
        </w:rPr>
        <w:object>
          <v:shape id="_x0000_i1043" o:spt="75" type="#_x0000_t75" style="height:12.75pt;width:12.75pt;" o:ole="t" filled="f" o:preferrelative="t" stroked="f" coordsize="21600,21600">
            <v:path/>
            <v:fill on="f" focussize="0,0"/>
            <v:stroke on="f" joinstyle="miter"/>
            <v:imagedata r:id="rId41" o:title=""/>
            <o:lock v:ext="edit" aspectratio="t"/>
            <w10:wrap type="none"/>
            <w10:anchorlock/>
          </v:shape>
          <o:OLEObject Type="Embed" ProgID="Equation.DSMT4" ShapeID="_x0000_i1043" DrawAspect="Content" ObjectID="_1468075743" r:id="rId48">
            <o:LockedField>false</o:LockedField>
          </o:OLEObject>
        </w:object>
      </w:r>
      <w:r>
        <w:rPr>
          <w:sz w:val="24"/>
        </w:rPr>
        <w:t>—某类线状因子的影响距离</w:t>
      </w:r>
    </w:p>
    <w:p w14:paraId="32EBE29C">
      <w:pPr>
        <w:autoSpaceDE w:val="0"/>
        <w:autoSpaceDN w:val="0"/>
        <w:adjustRightInd w:val="0"/>
        <w:spacing w:line="500" w:lineRule="exact"/>
        <w:ind w:firstLine="1312" w:firstLineChars="547"/>
        <w:rPr>
          <w:sz w:val="24"/>
        </w:rPr>
      </w:pPr>
      <w:r>
        <w:rPr>
          <w:sz w:val="24"/>
        </w:rPr>
        <w:object>
          <v:shape id="_x0000_i1044" o:spt="75" type="#_x0000_t75" style="height:13.5pt;width:11.25pt;" o:ole="t" filled="f" o:preferrelative="t" stroked="f" coordsize="21600,21600">
            <v:path/>
            <v:fill on="f" focussize="0,0"/>
            <v:stroke on="f" joinstyle="miter"/>
            <v:imagedata r:id="rId43" o:title=""/>
            <o:lock v:ext="edit" aspectratio="t"/>
            <w10:wrap type="none"/>
            <w10:anchorlock/>
          </v:shape>
          <o:OLEObject Type="Embed" ProgID="Equation.DSMT4" ShapeID="_x0000_i1044" DrawAspect="Content" ObjectID="_1468075744" r:id="rId49">
            <o:LockedField>false</o:LockedField>
          </o:OLEObject>
        </w:object>
      </w:r>
      <w:r>
        <w:rPr>
          <w:sz w:val="24"/>
        </w:rPr>
        <w:t>—定级范围面积</w:t>
      </w:r>
    </w:p>
    <w:p w14:paraId="08EA5B31">
      <w:pPr>
        <w:autoSpaceDE w:val="0"/>
        <w:autoSpaceDN w:val="0"/>
        <w:adjustRightInd w:val="0"/>
        <w:spacing w:line="500" w:lineRule="exact"/>
        <w:ind w:firstLine="1440" w:firstLineChars="600"/>
        <w:rPr>
          <w:sz w:val="24"/>
        </w:rPr>
      </w:pPr>
      <w:r>
        <w:rPr>
          <w:sz w:val="24"/>
        </w:rPr>
        <w:object>
          <v:shape id="_x0000_i1045" o:spt="75" type="#_x0000_t75" style="height:12pt;width:11.25pt;" o:ole="t" filled="f" o:preferrelative="t" stroked="f" coordsize="21600,21600">
            <v:path/>
            <v:fill on="f" focussize="0,0"/>
            <v:stroke on="f" joinstyle="miter"/>
            <v:imagedata r:id="rId51" o:title=""/>
            <o:lock v:ext="edit" aspectratio="t"/>
            <w10:wrap type="none"/>
            <w10:anchorlock/>
          </v:shape>
          <o:OLEObject Type="Embed" ProgID="Equation.DSMT4" ShapeID="_x0000_i1045" DrawAspect="Content" ObjectID="_1468075745" r:id="rId50">
            <o:LockedField>false</o:LockedField>
          </o:OLEObject>
        </w:object>
      </w:r>
      <w:r>
        <w:rPr>
          <w:sz w:val="24"/>
        </w:rPr>
        <w:t>—某类线状因子的总长度</w:t>
      </w:r>
      <w:bookmarkStart w:id="105" w:name="_Toc532729866"/>
    </w:p>
    <w:p w14:paraId="26DF15E8">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106" w:name="_Toc47384605"/>
      <w:r>
        <w:rPr>
          <w:rFonts w:hint="eastAsia" w:ascii="宋体" w:hAnsi="宋体"/>
          <w:bCs/>
          <w:kern w:val="2"/>
          <w:szCs w:val="28"/>
        </w:rPr>
        <w:t>3</w:t>
      </w:r>
      <w:r>
        <w:rPr>
          <w:rFonts w:ascii="宋体" w:hAnsi="宋体"/>
          <w:bCs/>
          <w:kern w:val="2"/>
          <w:szCs w:val="28"/>
        </w:rPr>
        <w:t>.3 土地定级因子指标分析及计算结果</w:t>
      </w:r>
      <w:bookmarkEnd w:id="105"/>
      <w:bookmarkEnd w:id="106"/>
    </w:p>
    <w:p w14:paraId="22AA55A0"/>
    <w:p w14:paraId="2DFF97DF">
      <w:pPr>
        <w:pStyle w:val="4"/>
        <w:widowControl w:val="0"/>
        <w:tabs>
          <w:tab w:val="left" w:pos="720"/>
        </w:tabs>
        <w:spacing w:before="120" w:after="120" w:line="500" w:lineRule="exact"/>
        <w:ind w:left="826" w:hanging="826"/>
        <w:jc w:val="both"/>
        <w:rPr>
          <w:rFonts w:ascii="宋体" w:hAnsi="宋体"/>
          <w:sz w:val="24"/>
          <w:szCs w:val="24"/>
        </w:rPr>
      </w:pPr>
      <w:bookmarkStart w:id="107" w:name="_Toc47384606"/>
      <w:bookmarkStart w:id="108" w:name="_Toc534833338"/>
      <w:bookmarkStart w:id="109" w:name="_Toc535399915"/>
      <w:r>
        <w:rPr>
          <w:rFonts w:hint="eastAsia" w:ascii="宋体" w:hAnsi="宋体"/>
          <w:sz w:val="24"/>
          <w:szCs w:val="24"/>
        </w:rPr>
        <w:t>3</w:t>
      </w:r>
      <w:r>
        <w:rPr>
          <w:rFonts w:ascii="宋体" w:hAnsi="宋体"/>
          <w:sz w:val="24"/>
          <w:szCs w:val="24"/>
        </w:rPr>
        <w:t>.3.1坡度</w:t>
      </w:r>
      <w:bookmarkEnd w:id="107"/>
      <w:bookmarkEnd w:id="108"/>
      <w:bookmarkEnd w:id="109"/>
    </w:p>
    <w:p w14:paraId="357AA575">
      <w:pPr>
        <w:spacing w:line="500" w:lineRule="exact"/>
        <w:ind w:firstLine="480" w:firstLineChars="200"/>
        <w:rPr>
          <w:sz w:val="24"/>
        </w:rPr>
      </w:pPr>
      <w:r>
        <w:rPr>
          <w:sz w:val="24"/>
        </w:rPr>
        <w:t>根据鄂州市的DEM数据，利用ARCGIS软件提取鄂州市国有农用地坡度数据，并编制量化分值表，具体见表</w:t>
      </w:r>
      <w:r>
        <w:rPr>
          <w:rFonts w:hint="eastAsia"/>
          <w:sz w:val="24"/>
        </w:rPr>
        <w:t>3</w:t>
      </w:r>
      <w:r>
        <w:rPr>
          <w:sz w:val="24"/>
        </w:rPr>
        <w:t>-4</w:t>
      </w:r>
      <w:r>
        <w:rPr>
          <w:rFonts w:hint="eastAsia"/>
          <w:sz w:val="24"/>
        </w:rPr>
        <w:t>。</w:t>
      </w:r>
    </w:p>
    <w:p w14:paraId="5581B619">
      <w:pPr>
        <w:spacing w:line="500" w:lineRule="exact"/>
        <w:ind w:firstLine="200"/>
        <w:jc w:val="center"/>
        <w:rPr>
          <w:b/>
          <w:szCs w:val="21"/>
        </w:rPr>
      </w:pPr>
      <w:r>
        <w:rPr>
          <w:b/>
          <w:szCs w:val="21"/>
        </w:rPr>
        <w:t>表3-4鄂州市定级单元地形坡度等级表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957"/>
        <w:gridCol w:w="1351"/>
        <w:gridCol w:w="1351"/>
        <w:gridCol w:w="1351"/>
        <w:gridCol w:w="1351"/>
      </w:tblGrid>
      <w:tr w14:paraId="552B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5" w:type="dxa"/>
            <w:vAlign w:val="center"/>
          </w:tcPr>
          <w:p w14:paraId="533CB034">
            <w:pPr>
              <w:jc w:val="center"/>
              <w:rPr>
                <w:b/>
                <w:color w:val="000000"/>
                <w:kern w:val="0"/>
                <w:szCs w:val="21"/>
              </w:rPr>
            </w:pPr>
            <w:r>
              <w:rPr>
                <w:b/>
                <w:color w:val="000000"/>
                <w:kern w:val="0"/>
                <w:szCs w:val="21"/>
              </w:rPr>
              <w:t>等级</w:t>
            </w:r>
          </w:p>
        </w:tc>
        <w:tc>
          <w:tcPr>
            <w:tcW w:w="957" w:type="dxa"/>
            <w:vAlign w:val="center"/>
          </w:tcPr>
          <w:p w14:paraId="65E6134B">
            <w:pPr>
              <w:jc w:val="center"/>
              <w:rPr>
                <w:b/>
                <w:color w:val="000000"/>
                <w:kern w:val="0"/>
                <w:szCs w:val="21"/>
              </w:rPr>
            </w:pPr>
            <w:r>
              <w:rPr>
                <w:b/>
                <w:color w:val="000000"/>
                <w:kern w:val="0"/>
                <w:szCs w:val="21"/>
              </w:rPr>
              <w:t>一级</w:t>
            </w:r>
          </w:p>
        </w:tc>
        <w:tc>
          <w:tcPr>
            <w:tcW w:w="1351" w:type="dxa"/>
            <w:vAlign w:val="center"/>
          </w:tcPr>
          <w:p w14:paraId="000EFF7A">
            <w:pPr>
              <w:jc w:val="center"/>
              <w:rPr>
                <w:b/>
                <w:color w:val="000000"/>
                <w:kern w:val="0"/>
                <w:szCs w:val="21"/>
              </w:rPr>
            </w:pPr>
            <w:r>
              <w:rPr>
                <w:b/>
                <w:color w:val="000000"/>
                <w:kern w:val="0"/>
                <w:szCs w:val="21"/>
              </w:rPr>
              <w:t>二级</w:t>
            </w:r>
          </w:p>
        </w:tc>
        <w:tc>
          <w:tcPr>
            <w:tcW w:w="1351" w:type="dxa"/>
            <w:vAlign w:val="center"/>
          </w:tcPr>
          <w:p w14:paraId="7FE73D59">
            <w:pPr>
              <w:jc w:val="center"/>
              <w:rPr>
                <w:b/>
                <w:color w:val="000000"/>
                <w:kern w:val="0"/>
                <w:szCs w:val="21"/>
              </w:rPr>
            </w:pPr>
            <w:r>
              <w:rPr>
                <w:b/>
                <w:color w:val="000000"/>
                <w:kern w:val="0"/>
                <w:szCs w:val="21"/>
              </w:rPr>
              <w:t>三级</w:t>
            </w:r>
          </w:p>
        </w:tc>
        <w:tc>
          <w:tcPr>
            <w:tcW w:w="1351" w:type="dxa"/>
            <w:vAlign w:val="center"/>
          </w:tcPr>
          <w:p w14:paraId="0D96FDB9">
            <w:pPr>
              <w:jc w:val="center"/>
              <w:rPr>
                <w:b/>
                <w:color w:val="000000"/>
                <w:kern w:val="0"/>
                <w:szCs w:val="21"/>
              </w:rPr>
            </w:pPr>
            <w:r>
              <w:rPr>
                <w:b/>
                <w:color w:val="000000"/>
                <w:kern w:val="0"/>
                <w:szCs w:val="21"/>
              </w:rPr>
              <w:t>四级</w:t>
            </w:r>
          </w:p>
        </w:tc>
        <w:tc>
          <w:tcPr>
            <w:tcW w:w="1351" w:type="dxa"/>
          </w:tcPr>
          <w:p w14:paraId="527B91DD">
            <w:pPr>
              <w:jc w:val="center"/>
              <w:rPr>
                <w:b/>
                <w:color w:val="000000"/>
                <w:kern w:val="0"/>
                <w:szCs w:val="21"/>
              </w:rPr>
            </w:pPr>
            <w:r>
              <w:rPr>
                <w:b/>
                <w:color w:val="000000"/>
                <w:kern w:val="0"/>
                <w:szCs w:val="21"/>
              </w:rPr>
              <w:t>五级</w:t>
            </w:r>
          </w:p>
        </w:tc>
      </w:tr>
      <w:tr w14:paraId="69F5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5" w:type="dxa"/>
            <w:vAlign w:val="center"/>
          </w:tcPr>
          <w:p w14:paraId="552ACEFB">
            <w:pPr>
              <w:jc w:val="center"/>
              <w:rPr>
                <w:color w:val="000000"/>
                <w:kern w:val="0"/>
                <w:szCs w:val="21"/>
              </w:rPr>
            </w:pPr>
            <w:r>
              <w:rPr>
                <w:color w:val="000000"/>
                <w:szCs w:val="21"/>
              </w:rPr>
              <w:t>坡度</w:t>
            </w:r>
          </w:p>
        </w:tc>
        <w:tc>
          <w:tcPr>
            <w:tcW w:w="957" w:type="dxa"/>
            <w:vAlign w:val="center"/>
          </w:tcPr>
          <w:p w14:paraId="7DEE33FF">
            <w:pPr>
              <w:jc w:val="center"/>
              <w:rPr>
                <w:color w:val="000000"/>
                <w:kern w:val="0"/>
                <w:szCs w:val="21"/>
              </w:rPr>
            </w:pPr>
            <w:r>
              <w:rPr>
                <w:color w:val="000000"/>
                <w:kern w:val="0"/>
                <w:szCs w:val="21"/>
              </w:rPr>
              <w:t>＜2°</w:t>
            </w:r>
          </w:p>
        </w:tc>
        <w:tc>
          <w:tcPr>
            <w:tcW w:w="1351" w:type="dxa"/>
            <w:vAlign w:val="center"/>
          </w:tcPr>
          <w:p w14:paraId="502041B4">
            <w:pPr>
              <w:jc w:val="center"/>
              <w:rPr>
                <w:color w:val="000000"/>
                <w:kern w:val="0"/>
                <w:szCs w:val="21"/>
              </w:rPr>
            </w:pPr>
            <w:r>
              <w:rPr>
                <w:color w:val="000000"/>
                <w:szCs w:val="21"/>
              </w:rPr>
              <w:t>2°-6°</w:t>
            </w:r>
          </w:p>
        </w:tc>
        <w:tc>
          <w:tcPr>
            <w:tcW w:w="1351" w:type="dxa"/>
            <w:vAlign w:val="center"/>
          </w:tcPr>
          <w:p w14:paraId="09A50505">
            <w:pPr>
              <w:jc w:val="center"/>
              <w:rPr>
                <w:color w:val="000000"/>
                <w:kern w:val="0"/>
                <w:szCs w:val="21"/>
              </w:rPr>
            </w:pPr>
            <w:r>
              <w:rPr>
                <w:color w:val="000000"/>
                <w:szCs w:val="21"/>
              </w:rPr>
              <w:t>6°-15°</w:t>
            </w:r>
          </w:p>
        </w:tc>
        <w:tc>
          <w:tcPr>
            <w:tcW w:w="1351" w:type="dxa"/>
            <w:vAlign w:val="center"/>
          </w:tcPr>
          <w:p w14:paraId="00480C93">
            <w:pPr>
              <w:jc w:val="center"/>
              <w:rPr>
                <w:color w:val="000000"/>
                <w:kern w:val="0"/>
                <w:szCs w:val="21"/>
              </w:rPr>
            </w:pPr>
            <w:r>
              <w:rPr>
                <w:color w:val="000000"/>
                <w:szCs w:val="21"/>
              </w:rPr>
              <w:t>15°-25°</w:t>
            </w:r>
          </w:p>
        </w:tc>
        <w:tc>
          <w:tcPr>
            <w:tcW w:w="1351" w:type="dxa"/>
            <w:vAlign w:val="center"/>
          </w:tcPr>
          <w:p w14:paraId="202735D9">
            <w:pPr>
              <w:jc w:val="center"/>
              <w:rPr>
                <w:color w:val="000000"/>
                <w:kern w:val="0"/>
                <w:szCs w:val="21"/>
              </w:rPr>
            </w:pPr>
            <w:r>
              <w:rPr>
                <w:color w:val="000000"/>
                <w:szCs w:val="21"/>
              </w:rPr>
              <w:t>＞25°</w:t>
            </w:r>
          </w:p>
        </w:tc>
      </w:tr>
      <w:tr w14:paraId="6378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5" w:type="dxa"/>
            <w:vAlign w:val="center"/>
          </w:tcPr>
          <w:p w14:paraId="4B35D1A6">
            <w:pPr>
              <w:jc w:val="center"/>
              <w:rPr>
                <w:color w:val="000000"/>
                <w:szCs w:val="21"/>
              </w:rPr>
            </w:pPr>
            <w:r>
              <w:rPr>
                <w:color w:val="000000"/>
                <w:szCs w:val="21"/>
              </w:rPr>
              <w:t>分值</w:t>
            </w:r>
          </w:p>
        </w:tc>
        <w:tc>
          <w:tcPr>
            <w:tcW w:w="957" w:type="dxa"/>
            <w:vAlign w:val="center"/>
          </w:tcPr>
          <w:p w14:paraId="6A939FAE">
            <w:pPr>
              <w:jc w:val="center"/>
              <w:rPr>
                <w:color w:val="000000"/>
                <w:kern w:val="0"/>
                <w:szCs w:val="21"/>
              </w:rPr>
            </w:pPr>
            <w:r>
              <w:rPr>
                <w:color w:val="000000"/>
                <w:kern w:val="0"/>
                <w:szCs w:val="21"/>
              </w:rPr>
              <w:t>100</w:t>
            </w:r>
          </w:p>
        </w:tc>
        <w:tc>
          <w:tcPr>
            <w:tcW w:w="1351" w:type="dxa"/>
            <w:vAlign w:val="center"/>
          </w:tcPr>
          <w:p w14:paraId="269ECDB9">
            <w:pPr>
              <w:jc w:val="center"/>
              <w:rPr>
                <w:color w:val="000000"/>
                <w:szCs w:val="21"/>
              </w:rPr>
            </w:pPr>
            <w:r>
              <w:rPr>
                <w:color w:val="000000"/>
                <w:szCs w:val="21"/>
              </w:rPr>
              <w:t>90</w:t>
            </w:r>
          </w:p>
        </w:tc>
        <w:tc>
          <w:tcPr>
            <w:tcW w:w="1351" w:type="dxa"/>
            <w:vAlign w:val="center"/>
          </w:tcPr>
          <w:p w14:paraId="67BBCDE9">
            <w:pPr>
              <w:jc w:val="center"/>
              <w:rPr>
                <w:color w:val="000000"/>
                <w:szCs w:val="21"/>
              </w:rPr>
            </w:pPr>
            <w:r>
              <w:rPr>
                <w:color w:val="000000"/>
                <w:szCs w:val="21"/>
              </w:rPr>
              <w:t>80</w:t>
            </w:r>
          </w:p>
        </w:tc>
        <w:tc>
          <w:tcPr>
            <w:tcW w:w="1351" w:type="dxa"/>
            <w:vAlign w:val="center"/>
          </w:tcPr>
          <w:p w14:paraId="788CF222">
            <w:pPr>
              <w:jc w:val="center"/>
              <w:rPr>
                <w:color w:val="000000"/>
                <w:szCs w:val="21"/>
              </w:rPr>
            </w:pPr>
            <w:r>
              <w:rPr>
                <w:color w:val="000000"/>
                <w:szCs w:val="21"/>
              </w:rPr>
              <w:t>60</w:t>
            </w:r>
          </w:p>
        </w:tc>
        <w:tc>
          <w:tcPr>
            <w:tcW w:w="1351" w:type="dxa"/>
            <w:vAlign w:val="center"/>
          </w:tcPr>
          <w:p w14:paraId="221AC3B1">
            <w:pPr>
              <w:jc w:val="center"/>
              <w:rPr>
                <w:color w:val="000000"/>
                <w:szCs w:val="21"/>
              </w:rPr>
            </w:pPr>
            <w:r>
              <w:rPr>
                <w:color w:val="000000"/>
                <w:szCs w:val="21"/>
              </w:rPr>
              <w:t>30</w:t>
            </w:r>
          </w:p>
        </w:tc>
      </w:tr>
    </w:tbl>
    <w:p w14:paraId="3DF6AEAF">
      <w:pPr>
        <w:pStyle w:val="4"/>
        <w:widowControl w:val="0"/>
        <w:tabs>
          <w:tab w:val="left" w:pos="720"/>
        </w:tabs>
        <w:spacing w:before="120" w:after="120" w:line="500" w:lineRule="exact"/>
        <w:ind w:left="826" w:hanging="826"/>
        <w:jc w:val="both"/>
        <w:rPr>
          <w:rFonts w:ascii="宋体" w:hAnsi="宋体"/>
          <w:sz w:val="24"/>
          <w:szCs w:val="24"/>
        </w:rPr>
      </w:pPr>
      <w:bookmarkStart w:id="110" w:name="_Toc534833339"/>
      <w:bookmarkStart w:id="111" w:name="_Toc47384607"/>
      <w:bookmarkStart w:id="112" w:name="_Toc535399916"/>
      <w:r>
        <w:rPr>
          <w:rFonts w:hint="eastAsia" w:ascii="宋体" w:hAnsi="宋体"/>
          <w:sz w:val="24"/>
          <w:szCs w:val="24"/>
        </w:rPr>
        <w:t>3</w:t>
      </w:r>
      <w:r>
        <w:rPr>
          <w:rFonts w:ascii="宋体" w:hAnsi="宋体"/>
          <w:sz w:val="24"/>
          <w:szCs w:val="24"/>
        </w:rPr>
        <w:t>.3.2 土壤有机质含量</w:t>
      </w:r>
      <w:bookmarkEnd w:id="110"/>
      <w:bookmarkEnd w:id="111"/>
      <w:bookmarkEnd w:id="112"/>
    </w:p>
    <w:p w14:paraId="2F04AF8E">
      <w:pPr>
        <w:spacing w:line="500" w:lineRule="exact"/>
        <w:ind w:firstLine="480" w:firstLineChars="200"/>
        <w:rPr>
          <w:sz w:val="24"/>
        </w:rPr>
      </w:pPr>
      <w:r>
        <w:rPr>
          <w:sz w:val="24"/>
        </w:rPr>
        <w:t>从鄂州市2017年耕地质量更新评价数据库中获取鄂州市国有农用地土壤有机质含量数据，并利用野外抽样调查所得到的土壤有机质数据进行检验，得到鄂州市定级单元土壤有机质含量量化表</w:t>
      </w:r>
      <w:r>
        <w:rPr>
          <w:rFonts w:hint="eastAsia"/>
          <w:sz w:val="24"/>
        </w:rPr>
        <w:t>，</w:t>
      </w:r>
      <w:r>
        <w:rPr>
          <w:sz w:val="24"/>
        </w:rPr>
        <w:t>具体见表</w:t>
      </w:r>
      <w:r>
        <w:rPr>
          <w:rFonts w:hint="eastAsia"/>
          <w:sz w:val="24"/>
        </w:rPr>
        <w:t>3</w:t>
      </w:r>
      <w:r>
        <w:rPr>
          <w:sz w:val="24"/>
        </w:rPr>
        <w:t>-5</w:t>
      </w:r>
      <w:r>
        <w:rPr>
          <w:rFonts w:hint="eastAsia"/>
          <w:sz w:val="24"/>
        </w:rPr>
        <w:t>。</w:t>
      </w:r>
    </w:p>
    <w:p w14:paraId="642097C5">
      <w:pPr>
        <w:ind w:firstLine="422"/>
        <w:jc w:val="center"/>
        <w:rPr>
          <w:b/>
          <w:szCs w:val="21"/>
        </w:rPr>
      </w:pPr>
      <w:r>
        <w:rPr>
          <w:b/>
          <w:szCs w:val="21"/>
        </w:rPr>
        <w:t>表3-5鄂州市定级单元土壤有机质含量等级表</w:t>
      </w:r>
    </w:p>
    <w:tbl>
      <w:tblPr>
        <w:tblStyle w:val="3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827"/>
        <w:gridCol w:w="1161"/>
        <w:gridCol w:w="1161"/>
        <w:gridCol w:w="1161"/>
        <w:gridCol w:w="1161"/>
        <w:gridCol w:w="1160"/>
      </w:tblGrid>
      <w:tr w14:paraId="5246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65" w:type="dxa"/>
            <w:vAlign w:val="center"/>
          </w:tcPr>
          <w:p w14:paraId="2700F9EE">
            <w:pPr>
              <w:jc w:val="center"/>
              <w:rPr>
                <w:b/>
                <w:color w:val="000000"/>
                <w:kern w:val="0"/>
                <w:szCs w:val="21"/>
              </w:rPr>
            </w:pPr>
            <w:r>
              <w:rPr>
                <w:b/>
                <w:color w:val="000000"/>
                <w:kern w:val="0"/>
                <w:szCs w:val="21"/>
              </w:rPr>
              <w:t>等级</w:t>
            </w:r>
          </w:p>
        </w:tc>
        <w:tc>
          <w:tcPr>
            <w:tcW w:w="827" w:type="dxa"/>
            <w:vAlign w:val="center"/>
          </w:tcPr>
          <w:p w14:paraId="21AEE4A8">
            <w:pPr>
              <w:jc w:val="center"/>
              <w:rPr>
                <w:b/>
                <w:color w:val="000000"/>
                <w:kern w:val="0"/>
                <w:szCs w:val="21"/>
              </w:rPr>
            </w:pPr>
            <w:r>
              <w:rPr>
                <w:b/>
                <w:color w:val="000000"/>
                <w:kern w:val="0"/>
                <w:szCs w:val="21"/>
              </w:rPr>
              <w:t>一级</w:t>
            </w:r>
          </w:p>
        </w:tc>
        <w:tc>
          <w:tcPr>
            <w:tcW w:w="1161" w:type="dxa"/>
            <w:vAlign w:val="center"/>
          </w:tcPr>
          <w:p w14:paraId="264797AD">
            <w:pPr>
              <w:jc w:val="center"/>
              <w:rPr>
                <w:b/>
                <w:color w:val="000000"/>
                <w:kern w:val="0"/>
                <w:szCs w:val="21"/>
              </w:rPr>
            </w:pPr>
            <w:r>
              <w:rPr>
                <w:b/>
                <w:color w:val="000000"/>
                <w:kern w:val="0"/>
                <w:szCs w:val="21"/>
              </w:rPr>
              <w:t>二级</w:t>
            </w:r>
          </w:p>
        </w:tc>
        <w:tc>
          <w:tcPr>
            <w:tcW w:w="1161" w:type="dxa"/>
            <w:vAlign w:val="center"/>
          </w:tcPr>
          <w:p w14:paraId="3B3BB056">
            <w:pPr>
              <w:jc w:val="center"/>
              <w:rPr>
                <w:b/>
                <w:color w:val="000000"/>
                <w:kern w:val="0"/>
                <w:szCs w:val="21"/>
              </w:rPr>
            </w:pPr>
            <w:r>
              <w:rPr>
                <w:b/>
                <w:color w:val="000000"/>
                <w:kern w:val="0"/>
                <w:szCs w:val="21"/>
              </w:rPr>
              <w:t>三级</w:t>
            </w:r>
          </w:p>
        </w:tc>
        <w:tc>
          <w:tcPr>
            <w:tcW w:w="1161" w:type="dxa"/>
            <w:vAlign w:val="center"/>
          </w:tcPr>
          <w:p w14:paraId="7F1E3618">
            <w:pPr>
              <w:jc w:val="center"/>
              <w:rPr>
                <w:b/>
                <w:color w:val="000000"/>
                <w:kern w:val="0"/>
                <w:szCs w:val="21"/>
              </w:rPr>
            </w:pPr>
            <w:r>
              <w:rPr>
                <w:b/>
                <w:color w:val="000000"/>
                <w:kern w:val="0"/>
                <w:szCs w:val="21"/>
              </w:rPr>
              <w:t>四级</w:t>
            </w:r>
          </w:p>
        </w:tc>
        <w:tc>
          <w:tcPr>
            <w:tcW w:w="1161" w:type="dxa"/>
          </w:tcPr>
          <w:p w14:paraId="164DA42C">
            <w:pPr>
              <w:jc w:val="center"/>
              <w:rPr>
                <w:b/>
                <w:color w:val="000000"/>
                <w:kern w:val="0"/>
                <w:szCs w:val="21"/>
              </w:rPr>
            </w:pPr>
            <w:r>
              <w:rPr>
                <w:b/>
                <w:color w:val="000000"/>
                <w:kern w:val="0"/>
                <w:szCs w:val="21"/>
              </w:rPr>
              <w:t>五级</w:t>
            </w:r>
          </w:p>
        </w:tc>
        <w:tc>
          <w:tcPr>
            <w:tcW w:w="1160" w:type="dxa"/>
          </w:tcPr>
          <w:p w14:paraId="0641DF24">
            <w:pPr>
              <w:jc w:val="center"/>
              <w:rPr>
                <w:b/>
                <w:color w:val="000000"/>
                <w:kern w:val="0"/>
                <w:szCs w:val="21"/>
              </w:rPr>
            </w:pPr>
            <w:r>
              <w:rPr>
                <w:b/>
                <w:color w:val="000000"/>
                <w:kern w:val="0"/>
                <w:szCs w:val="21"/>
              </w:rPr>
              <w:t>六级</w:t>
            </w:r>
          </w:p>
        </w:tc>
      </w:tr>
      <w:tr w14:paraId="1D38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65" w:type="dxa"/>
            <w:vAlign w:val="center"/>
          </w:tcPr>
          <w:p w14:paraId="701D83CE">
            <w:pPr>
              <w:jc w:val="center"/>
              <w:rPr>
                <w:color w:val="000000"/>
                <w:kern w:val="0"/>
                <w:szCs w:val="21"/>
              </w:rPr>
            </w:pPr>
            <w:r>
              <w:rPr>
                <w:color w:val="000000"/>
                <w:szCs w:val="21"/>
              </w:rPr>
              <w:t>土壤有机质含量（g/Kg）</w:t>
            </w:r>
          </w:p>
        </w:tc>
        <w:tc>
          <w:tcPr>
            <w:tcW w:w="827" w:type="dxa"/>
            <w:vAlign w:val="center"/>
          </w:tcPr>
          <w:p w14:paraId="487AAF90">
            <w:pPr>
              <w:jc w:val="center"/>
              <w:rPr>
                <w:color w:val="000000"/>
                <w:kern w:val="0"/>
                <w:szCs w:val="21"/>
              </w:rPr>
            </w:pPr>
            <w:r>
              <w:rPr>
                <w:color w:val="000000"/>
                <w:kern w:val="0"/>
                <w:szCs w:val="21"/>
              </w:rPr>
              <w:t>≥40</w:t>
            </w:r>
          </w:p>
        </w:tc>
        <w:tc>
          <w:tcPr>
            <w:tcW w:w="1161" w:type="dxa"/>
            <w:vAlign w:val="center"/>
          </w:tcPr>
          <w:p w14:paraId="6E3C0C35">
            <w:pPr>
              <w:jc w:val="center"/>
              <w:rPr>
                <w:color w:val="000000"/>
                <w:kern w:val="0"/>
                <w:szCs w:val="21"/>
              </w:rPr>
            </w:pPr>
            <w:r>
              <w:rPr>
                <w:color w:val="000000"/>
                <w:szCs w:val="21"/>
              </w:rPr>
              <w:t>40-30</w:t>
            </w:r>
          </w:p>
        </w:tc>
        <w:tc>
          <w:tcPr>
            <w:tcW w:w="1161" w:type="dxa"/>
            <w:vAlign w:val="center"/>
          </w:tcPr>
          <w:p w14:paraId="55E56F45">
            <w:pPr>
              <w:jc w:val="center"/>
              <w:rPr>
                <w:color w:val="000000"/>
                <w:kern w:val="0"/>
                <w:szCs w:val="21"/>
              </w:rPr>
            </w:pPr>
            <w:r>
              <w:rPr>
                <w:color w:val="000000"/>
                <w:szCs w:val="21"/>
              </w:rPr>
              <w:t>30-20</w:t>
            </w:r>
          </w:p>
        </w:tc>
        <w:tc>
          <w:tcPr>
            <w:tcW w:w="1161" w:type="dxa"/>
            <w:vAlign w:val="center"/>
          </w:tcPr>
          <w:p w14:paraId="25B367F1">
            <w:pPr>
              <w:jc w:val="center"/>
              <w:rPr>
                <w:color w:val="000000"/>
                <w:kern w:val="0"/>
                <w:szCs w:val="21"/>
              </w:rPr>
            </w:pPr>
            <w:r>
              <w:rPr>
                <w:color w:val="000000"/>
                <w:szCs w:val="21"/>
              </w:rPr>
              <w:t>20-10</w:t>
            </w:r>
          </w:p>
        </w:tc>
        <w:tc>
          <w:tcPr>
            <w:tcW w:w="1161" w:type="dxa"/>
            <w:vAlign w:val="center"/>
          </w:tcPr>
          <w:p w14:paraId="6D6315D5">
            <w:pPr>
              <w:jc w:val="center"/>
              <w:rPr>
                <w:color w:val="000000"/>
                <w:kern w:val="0"/>
                <w:szCs w:val="21"/>
              </w:rPr>
            </w:pPr>
            <w:r>
              <w:rPr>
                <w:color w:val="000000"/>
                <w:szCs w:val="21"/>
              </w:rPr>
              <w:t>10-6</w:t>
            </w:r>
          </w:p>
        </w:tc>
        <w:tc>
          <w:tcPr>
            <w:tcW w:w="1160" w:type="dxa"/>
            <w:vAlign w:val="center"/>
          </w:tcPr>
          <w:p w14:paraId="2407329B">
            <w:pPr>
              <w:jc w:val="center"/>
              <w:rPr>
                <w:color w:val="000000"/>
                <w:szCs w:val="21"/>
              </w:rPr>
            </w:pPr>
            <w:r>
              <w:rPr>
                <w:color w:val="000000"/>
                <w:szCs w:val="21"/>
              </w:rPr>
              <w:t>＜6</w:t>
            </w:r>
          </w:p>
        </w:tc>
      </w:tr>
      <w:tr w14:paraId="1E96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65" w:type="dxa"/>
            <w:vAlign w:val="center"/>
          </w:tcPr>
          <w:p w14:paraId="501B06FA">
            <w:pPr>
              <w:jc w:val="center"/>
              <w:rPr>
                <w:color w:val="000000"/>
                <w:szCs w:val="21"/>
              </w:rPr>
            </w:pPr>
            <w:r>
              <w:rPr>
                <w:color w:val="000000"/>
                <w:szCs w:val="21"/>
              </w:rPr>
              <w:t>分值</w:t>
            </w:r>
          </w:p>
        </w:tc>
        <w:tc>
          <w:tcPr>
            <w:tcW w:w="827" w:type="dxa"/>
            <w:vAlign w:val="center"/>
          </w:tcPr>
          <w:p w14:paraId="3EF627AE">
            <w:pPr>
              <w:jc w:val="center"/>
              <w:rPr>
                <w:color w:val="000000"/>
                <w:kern w:val="0"/>
                <w:szCs w:val="21"/>
              </w:rPr>
            </w:pPr>
            <w:r>
              <w:rPr>
                <w:color w:val="000000"/>
                <w:kern w:val="0"/>
                <w:szCs w:val="21"/>
              </w:rPr>
              <w:t>100</w:t>
            </w:r>
          </w:p>
        </w:tc>
        <w:tc>
          <w:tcPr>
            <w:tcW w:w="1161" w:type="dxa"/>
            <w:vAlign w:val="center"/>
          </w:tcPr>
          <w:p w14:paraId="18A414AE">
            <w:pPr>
              <w:jc w:val="center"/>
              <w:rPr>
                <w:color w:val="000000"/>
                <w:szCs w:val="21"/>
              </w:rPr>
            </w:pPr>
            <w:r>
              <w:rPr>
                <w:color w:val="000000"/>
                <w:szCs w:val="21"/>
              </w:rPr>
              <w:t>90</w:t>
            </w:r>
          </w:p>
        </w:tc>
        <w:tc>
          <w:tcPr>
            <w:tcW w:w="1161" w:type="dxa"/>
            <w:vAlign w:val="center"/>
          </w:tcPr>
          <w:p w14:paraId="64AD7963">
            <w:pPr>
              <w:jc w:val="center"/>
              <w:rPr>
                <w:color w:val="000000"/>
                <w:szCs w:val="21"/>
              </w:rPr>
            </w:pPr>
            <w:r>
              <w:rPr>
                <w:color w:val="000000"/>
                <w:szCs w:val="21"/>
              </w:rPr>
              <w:t>80</w:t>
            </w:r>
          </w:p>
        </w:tc>
        <w:tc>
          <w:tcPr>
            <w:tcW w:w="1161" w:type="dxa"/>
            <w:vAlign w:val="center"/>
          </w:tcPr>
          <w:p w14:paraId="0754D29E">
            <w:pPr>
              <w:jc w:val="center"/>
              <w:rPr>
                <w:color w:val="000000"/>
                <w:szCs w:val="21"/>
              </w:rPr>
            </w:pPr>
            <w:r>
              <w:rPr>
                <w:color w:val="000000"/>
                <w:szCs w:val="21"/>
              </w:rPr>
              <w:t>70</w:t>
            </w:r>
          </w:p>
        </w:tc>
        <w:tc>
          <w:tcPr>
            <w:tcW w:w="1161" w:type="dxa"/>
            <w:vAlign w:val="center"/>
          </w:tcPr>
          <w:p w14:paraId="0A76F8A4">
            <w:pPr>
              <w:jc w:val="center"/>
              <w:rPr>
                <w:color w:val="000000"/>
                <w:szCs w:val="21"/>
              </w:rPr>
            </w:pPr>
            <w:r>
              <w:rPr>
                <w:color w:val="000000"/>
                <w:szCs w:val="21"/>
              </w:rPr>
              <w:t>60</w:t>
            </w:r>
          </w:p>
        </w:tc>
        <w:tc>
          <w:tcPr>
            <w:tcW w:w="1160" w:type="dxa"/>
          </w:tcPr>
          <w:p w14:paraId="18128171">
            <w:pPr>
              <w:jc w:val="center"/>
              <w:rPr>
                <w:color w:val="000000"/>
                <w:szCs w:val="21"/>
              </w:rPr>
            </w:pPr>
            <w:r>
              <w:rPr>
                <w:color w:val="000000"/>
                <w:szCs w:val="21"/>
              </w:rPr>
              <w:t>50</w:t>
            </w:r>
          </w:p>
        </w:tc>
      </w:tr>
    </w:tbl>
    <w:p w14:paraId="42F84588">
      <w:pPr>
        <w:pStyle w:val="4"/>
        <w:widowControl w:val="0"/>
        <w:tabs>
          <w:tab w:val="left" w:pos="720"/>
        </w:tabs>
        <w:spacing w:before="120" w:after="120" w:line="500" w:lineRule="exact"/>
        <w:ind w:left="826" w:hanging="826"/>
        <w:jc w:val="both"/>
        <w:rPr>
          <w:rFonts w:ascii="宋体" w:hAnsi="宋体"/>
          <w:sz w:val="24"/>
          <w:szCs w:val="24"/>
        </w:rPr>
      </w:pPr>
      <w:bookmarkStart w:id="113" w:name="_Toc534833340"/>
      <w:bookmarkStart w:id="114" w:name="_Toc47384608"/>
      <w:bookmarkStart w:id="115" w:name="_Toc535399917"/>
      <w:r>
        <w:rPr>
          <w:rFonts w:hint="eastAsia" w:ascii="宋体" w:hAnsi="宋体"/>
          <w:sz w:val="24"/>
          <w:szCs w:val="24"/>
        </w:rPr>
        <w:t>3</w:t>
      </w:r>
      <w:r>
        <w:rPr>
          <w:rFonts w:ascii="宋体" w:hAnsi="宋体"/>
          <w:sz w:val="24"/>
          <w:szCs w:val="24"/>
        </w:rPr>
        <w:t>.3.3 土壤剖面构型</w:t>
      </w:r>
      <w:bookmarkEnd w:id="113"/>
      <w:bookmarkEnd w:id="114"/>
      <w:bookmarkEnd w:id="115"/>
    </w:p>
    <w:p w14:paraId="68FF9B38">
      <w:pPr>
        <w:spacing w:line="500" w:lineRule="exact"/>
        <w:ind w:firstLine="480" w:firstLineChars="200"/>
        <w:rPr>
          <w:sz w:val="24"/>
        </w:rPr>
      </w:pPr>
      <w:r>
        <w:rPr>
          <w:sz w:val="24"/>
        </w:rPr>
        <w:t>从鄂州市2017年耕地质量更新评价数据库中获取鄂州市国有农用地土壤剖面构型数据，并利用野外抽样调查所得到的土壤剖面构型数据进行检验，得到鄂州市定级单元土壤剖面构型量化表。具体见表</w:t>
      </w:r>
      <w:r>
        <w:rPr>
          <w:rFonts w:hint="eastAsia"/>
          <w:sz w:val="24"/>
        </w:rPr>
        <w:t>3</w:t>
      </w:r>
      <w:r>
        <w:rPr>
          <w:sz w:val="24"/>
        </w:rPr>
        <w:t>-</w:t>
      </w:r>
      <w:r>
        <w:rPr>
          <w:rFonts w:hint="eastAsia"/>
          <w:sz w:val="24"/>
        </w:rPr>
        <w:t>6。</w:t>
      </w:r>
    </w:p>
    <w:p w14:paraId="23E0AEF7">
      <w:pPr>
        <w:ind w:firstLine="422"/>
        <w:jc w:val="center"/>
        <w:rPr>
          <w:b/>
          <w:szCs w:val="21"/>
        </w:rPr>
      </w:pPr>
      <w:r>
        <w:rPr>
          <w:b/>
          <w:szCs w:val="21"/>
        </w:rPr>
        <w:t>表3-6鄂州市定级单元土壤剖面构型等级表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1024"/>
        <w:gridCol w:w="964"/>
        <w:gridCol w:w="1161"/>
        <w:gridCol w:w="1161"/>
        <w:gridCol w:w="1161"/>
        <w:gridCol w:w="1160"/>
      </w:tblGrid>
      <w:tr w14:paraId="4D84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65" w:type="dxa"/>
            <w:vAlign w:val="center"/>
          </w:tcPr>
          <w:p w14:paraId="4E8BFBA9">
            <w:pPr>
              <w:jc w:val="center"/>
              <w:rPr>
                <w:b/>
                <w:color w:val="000000"/>
                <w:kern w:val="0"/>
                <w:szCs w:val="21"/>
              </w:rPr>
            </w:pPr>
            <w:r>
              <w:rPr>
                <w:b/>
                <w:color w:val="000000"/>
                <w:kern w:val="0"/>
                <w:szCs w:val="21"/>
              </w:rPr>
              <w:t>等级</w:t>
            </w:r>
          </w:p>
        </w:tc>
        <w:tc>
          <w:tcPr>
            <w:tcW w:w="1024" w:type="dxa"/>
            <w:vAlign w:val="center"/>
          </w:tcPr>
          <w:p w14:paraId="30EF4FB7">
            <w:pPr>
              <w:jc w:val="center"/>
              <w:rPr>
                <w:b/>
                <w:color w:val="000000"/>
                <w:kern w:val="0"/>
                <w:szCs w:val="21"/>
              </w:rPr>
            </w:pPr>
            <w:r>
              <w:rPr>
                <w:b/>
                <w:color w:val="000000"/>
                <w:kern w:val="0"/>
                <w:szCs w:val="21"/>
              </w:rPr>
              <w:t>一级</w:t>
            </w:r>
          </w:p>
        </w:tc>
        <w:tc>
          <w:tcPr>
            <w:tcW w:w="964" w:type="dxa"/>
            <w:vAlign w:val="center"/>
          </w:tcPr>
          <w:p w14:paraId="4731B7C9">
            <w:pPr>
              <w:jc w:val="center"/>
              <w:rPr>
                <w:b/>
                <w:color w:val="000000"/>
                <w:kern w:val="0"/>
                <w:szCs w:val="21"/>
              </w:rPr>
            </w:pPr>
            <w:r>
              <w:rPr>
                <w:b/>
                <w:color w:val="000000"/>
                <w:kern w:val="0"/>
                <w:szCs w:val="21"/>
              </w:rPr>
              <w:t>二级</w:t>
            </w:r>
          </w:p>
        </w:tc>
        <w:tc>
          <w:tcPr>
            <w:tcW w:w="1161" w:type="dxa"/>
            <w:vAlign w:val="center"/>
          </w:tcPr>
          <w:p w14:paraId="62DFBDCF">
            <w:pPr>
              <w:jc w:val="center"/>
              <w:rPr>
                <w:b/>
                <w:color w:val="000000"/>
                <w:kern w:val="0"/>
                <w:szCs w:val="21"/>
              </w:rPr>
            </w:pPr>
            <w:r>
              <w:rPr>
                <w:b/>
                <w:color w:val="000000"/>
                <w:kern w:val="0"/>
                <w:szCs w:val="21"/>
              </w:rPr>
              <w:t>三级</w:t>
            </w:r>
          </w:p>
        </w:tc>
        <w:tc>
          <w:tcPr>
            <w:tcW w:w="1161" w:type="dxa"/>
            <w:vAlign w:val="center"/>
          </w:tcPr>
          <w:p w14:paraId="46953072">
            <w:pPr>
              <w:jc w:val="center"/>
              <w:rPr>
                <w:b/>
                <w:color w:val="000000"/>
                <w:kern w:val="0"/>
                <w:szCs w:val="21"/>
              </w:rPr>
            </w:pPr>
            <w:r>
              <w:rPr>
                <w:b/>
                <w:color w:val="000000"/>
                <w:kern w:val="0"/>
                <w:szCs w:val="21"/>
              </w:rPr>
              <w:t>四级</w:t>
            </w:r>
          </w:p>
        </w:tc>
        <w:tc>
          <w:tcPr>
            <w:tcW w:w="1161" w:type="dxa"/>
          </w:tcPr>
          <w:p w14:paraId="37FEFCFE">
            <w:pPr>
              <w:jc w:val="center"/>
              <w:rPr>
                <w:b/>
                <w:color w:val="000000"/>
                <w:kern w:val="0"/>
                <w:szCs w:val="21"/>
              </w:rPr>
            </w:pPr>
            <w:r>
              <w:rPr>
                <w:b/>
                <w:color w:val="000000"/>
                <w:kern w:val="0"/>
                <w:szCs w:val="21"/>
              </w:rPr>
              <w:t>五级</w:t>
            </w:r>
          </w:p>
        </w:tc>
        <w:tc>
          <w:tcPr>
            <w:tcW w:w="1160" w:type="dxa"/>
          </w:tcPr>
          <w:p w14:paraId="54960A2F">
            <w:pPr>
              <w:jc w:val="center"/>
              <w:rPr>
                <w:b/>
                <w:color w:val="000000"/>
                <w:kern w:val="0"/>
                <w:szCs w:val="21"/>
              </w:rPr>
            </w:pPr>
            <w:r>
              <w:rPr>
                <w:b/>
                <w:color w:val="000000"/>
                <w:kern w:val="0"/>
                <w:szCs w:val="21"/>
              </w:rPr>
              <w:t>六级</w:t>
            </w:r>
          </w:p>
        </w:tc>
      </w:tr>
      <w:tr w14:paraId="4E2F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65" w:type="dxa"/>
            <w:vAlign w:val="center"/>
          </w:tcPr>
          <w:p w14:paraId="3C5FCBDE">
            <w:pPr>
              <w:jc w:val="center"/>
              <w:rPr>
                <w:color w:val="000000"/>
                <w:kern w:val="0"/>
                <w:szCs w:val="21"/>
              </w:rPr>
            </w:pPr>
            <w:r>
              <w:rPr>
                <w:color w:val="000000"/>
                <w:szCs w:val="21"/>
              </w:rPr>
              <w:t>土壤剖面构型</w:t>
            </w:r>
          </w:p>
        </w:tc>
        <w:tc>
          <w:tcPr>
            <w:tcW w:w="1024" w:type="dxa"/>
            <w:vAlign w:val="center"/>
          </w:tcPr>
          <w:p w14:paraId="4BF2385C">
            <w:pPr>
              <w:jc w:val="center"/>
              <w:rPr>
                <w:color w:val="000000"/>
                <w:kern w:val="0"/>
                <w:szCs w:val="21"/>
              </w:rPr>
            </w:pPr>
            <w:r>
              <w:rPr>
                <w:color w:val="000000"/>
                <w:kern w:val="0"/>
                <w:szCs w:val="21"/>
              </w:rPr>
              <w:t>通体壤</w:t>
            </w:r>
          </w:p>
        </w:tc>
        <w:tc>
          <w:tcPr>
            <w:tcW w:w="964" w:type="dxa"/>
            <w:vAlign w:val="center"/>
          </w:tcPr>
          <w:p w14:paraId="13966E67">
            <w:pPr>
              <w:jc w:val="center"/>
              <w:rPr>
                <w:color w:val="000000"/>
                <w:kern w:val="0"/>
                <w:szCs w:val="21"/>
              </w:rPr>
            </w:pPr>
            <w:r>
              <w:rPr>
                <w:color w:val="000000"/>
                <w:szCs w:val="21"/>
              </w:rPr>
              <w:t>壤粘壤壤沙壤</w:t>
            </w:r>
          </w:p>
        </w:tc>
        <w:tc>
          <w:tcPr>
            <w:tcW w:w="1161" w:type="dxa"/>
            <w:vAlign w:val="center"/>
          </w:tcPr>
          <w:p w14:paraId="3F011B0D">
            <w:pPr>
              <w:jc w:val="center"/>
              <w:rPr>
                <w:color w:val="000000"/>
                <w:szCs w:val="21"/>
              </w:rPr>
            </w:pPr>
            <w:r>
              <w:rPr>
                <w:color w:val="000000"/>
                <w:szCs w:val="21"/>
              </w:rPr>
              <w:t>壤粘粘砂粘粘</w:t>
            </w:r>
          </w:p>
        </w:tc>
        <w:tc>
          <w:tcPr>
            <w:tcW w:w="1161" w:type="dxa"/>
            <w:vAlign w:val="center"/>
          </w:tcPr>
          <w:p w14:paraId="50DC51C0">
            <w:pPr>
              <w:jc w:val="center"/>
              <w:rPr>
                <w:color w:val="000000"/>
                <w:szCs w:val="21"/>
              </w:rPr>
            </w:pPr>
            <w:r>
              <w:rPr>
                <w:color w:val="000000"/>
                <w:szCs w:val="21"/>
              </w:rPr>
              <w:t>粘砂粘</w:t>
            </w:r>
          </w:p>
          <w:p w14:paraId="72C069D0">
            <w:pPr>
              <w:jc w:val="center"/>
              <w:rPr>
                <w:color w:val="000000"/>
                <w:szCs w:val="21"/>
              </w:rPr>
            </w:pPr>
            <w:r>
              <w:rPr>
                <w:color w:val="000000"/>
                <w:szCs w:val="21"/>
              </w:rPr>
              <w:t>通体粘</w:t>
            </w:r>
          </w:p>
        </w:tc>
        <w:tc>
          <w:tcPr>
            <w:tcW w:w="1161" w:type="dxa"/>
            <w:vAlign w:val="center"/>
          </w:tcPr>
          <w:p w14:paraId="02ACE28C">
            <w:pPr>
              <w:jc w:val="center"/>
              <w:rPr>
                <w:color w:val="000000"/>
                <w:szCs w:val="21"/>
              </w:rPr>
            </w:pPr>
            <w:r>
              <w:rPr>
                <w:color w:val="000000"/>
                <w:szCs w:val="21"/>
              </w:rPr>
              <w:t>壤砂砂</w:t>
            </w:r>
          </w:p>
          <w:p w14:paraId="48D4975C">
            <w:pPr>
              <w:jc w:val="center"/>
              <w:rPr>
                <w:color w:val="000000"/>
                <w:kern w:val="0"/>
                <w:szCs w:val="21"/>
              </w:rPr>
            </w:pPr>
            <w:r>
              <w:rPr>
                <w:color w:val="000000"/>
                <w:szCs w:val="21"/>
              </w:rPr>
              <w:t>砂粘砂</w:t>
            </w:r>
          </w:p>
        </w:tc>
        <w:tc>
          <w:tcPr>
            <w:tcW w:w="1160" w:type="dxa"/>
            <w:vAlign w:val="center"/>
          </w:tcPr>
          <w:p w14:paraId="737424E9">
            <w:pPr>
              <w:jc w:val="center"/>
              <w:rPr>
                <w:color w:val="000000"/>
                <w:szCs w:val="21"/>
              </w:rPr>
            </w:pPr>
            <w:r>
              <w:rPr>
                <w:color w:val="000000"/>
                <w:szCs w:val="21"/>
              </w:rPr>
              <w:t>粘砂砂</w:t>
            </w:r>
          </w:p>
          <w:p w14:paraId="616D8BBC">
            <w:pPr>
              <w:jc w:val="center"/>
              <w:rPr>
                <w:color w:val="000000"/>
                <w:szCs w:val="21"/>
              </w:rPr>
            </w:pPr>
            <w:r>
              <w:rPr>
                <w:color w:val="000000"/>
                <w:szCs w:val="21"/>
              </w:rPr>
              <w:t>通体砂</w:t>
            </w:r>
          </w:p>
        </w:tc>
      </w:tr>
      <w:tr w14:paraId="7C5E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65" w:type="dxa"/>
            <w:vAlign w:val="center"/>
          </w:tcPr>
          <w:p w14:paraId="6BD53007">
            <w:pPr>
              <w:jc w:val="center"/>
              <w:rPr>
                <w:color w:val="000000"/>
                <w:szCs w:val="21"/>
              </w:rPr>
            </w:pPr>
            <w:r>
              <w:rPr>
                <w:color w:val="000000"/>
                <w:szCs w:val="21"/>
              </w:rPr>
              <w:t>分值</w:t>
            </w:r>
          </w:p>
        </w:tc>
        <w:tc>
          <w:tcPr>
            <w:tcW w:w="1024" w:type="dxa"/>
            <w:vAlign w:val="center"/>
          </w:tcPr>
          <w:p w14:paraId="0D3B728C">
            <w:pPr>
              <w:jc w:val="center"/>
              <w:rPr>
                <w:color w:val="000000"/>
                <w:kern w:val="0"/>
                <w:szCs w:val="21"/>
              </w:rPr>
            </w:pPr>
            <w:r>
              <w:rPr>
                <w:color w:val="000000"/>
                <w:kern w:val="0"/>
                <w:szCs w:val="21"/>
              </w:rPr>
              <w:t>100</w:t>
            </w:r>
          </w:p>
        </w:tc>
        <w:tc>
          <w:tcPr>
            <w:tcW w:w="964" w:type="dxa"/>
            <w:vAlign w:val="center"/>
          </w:tcPr>
          <w:p w14:paraId="68B2CC92">
            <w:pPr>
              <w:jc w:val="center"/>
              <w:rPr>
                <w:color w:val="000000"/>
                <w:szCs w:val="21"/>
              </w:rPr>
            </w:pPr>
            <w:r>
              <w:rPr>
                <w:color w:val="000000"/>
                <w:szCs w:val="21"/>
              </w:rPr>
              <w:t>90</w:t>
            </w:r>
          </w:p>
        </w:tc>
        <w:tc>
          <w:tcPr>
            <w:tcW w:w="1161" w:type="dxa"/>
            <w:vAlign w:val="center"/>
          </w:tcPr>
          <w:p w14:paraId="6BB381DF">
            <w:pPr>
              <w:jc w:val="center"/>
              <w:rPr>
                <w:color w:val="000000"/>
                <w:szCs w:val="21"/>
              </w:rPr>
            </w:pPr>
            <w:r>
              <w:rPr>
                <w:color w:val="000000"/>
                <w:szCs w:val="21"/>
              </w:rPr>
              <w:t>80</w:t>
            </w:r>
          </w:p>
        </w:tc>
        <w:tc>
          <w:tcPr>
            <w:tcW w:w="1161" w:type="dxa"/>
            <w:vAlign w:val="center"/>
          </w:tcPr>
          <w:p w14:paraId="6B4F4736">
            <w:pPr>
              <w:jc w:val="center"/>
              <w:rPr>
                <w:color w:val="000000"/>
                <w:szCs w:val="21"/>
              </w:rPr>
            </w:pPr>
            <w:r>
              <w:rPr>
                <w:color w:val="000000"/>
                <w:szCs w:val="21"/>
              </w:rPr>
              <w:t>70</w:t>
            </w:r>
          </w:p>
        </w:tc>
        <w:tc>
          <w:tcPr>
            <w:tcW w:w="1161" w:type="dxa"/>
            <w:vAlign w:val="center"/>
          </w:tcPr>
          <w:p w14:paraId="4865362F">
            <w:pPr>
              <w:jc w:val="center"/>
              <w:rPr>
                <w:color w:val="000000"/>
                <w:szCs w:val="21"/>
              </w:rPr>
            </w:pPr>
            <w:r>
              <w:rPr>
                <w:color w:val="000000"/>
                <w:szCs w:val="21"/>
              </w:rPr>
              <w:t>60</w:t>
            </w:r>
          </w:p>
        </w:tc>
        <w:tc>
          <w:tcPr>
            <w:tcW w:w="1160" w:type="dxa"/>
          </w:tcPr>
          <w:p w14:paraId="4B16B350">
            <w:pPr>
              <w:jc w:val="center"/>
              <w:rPr>
                <w:color w:val="000000"/>
                <w:szCs w:val="21"/>
              </w:rPr>
            </w:pPr>
            <w:r>
              <w:rPr>
                <w:color w:val="000000"/>
                <w:szCs w:val="21"/>
              </w:rPr>
              <w:t>50</w:t>
            </w:r>
          </w:p>
        </w:tc>
      </w:tr>
    </w:tbl>
    <w:p w14:paraId="03521AA6">
      <w:pPr>
        <w:pStyle w:val="4"/>
        <w:widowControl w:val="0"/>
        <w:tabs>
          <w:tab w:val="left" w:pos="720"/>
        </w:tabs>
        <w:spacing w:before="120" w:after="120" w:line="500" w:lineRule="exact"/>
        <w:ind w:left="826" w:hanging="826"/>
        <w:jc w:val="both"/>
        <w:rPr>
          <w:rFonts w:ascii="宋体" w:hAnsi="宋体"/>
          <w:sz w:val="24"/>
          <w:szCs w:val="24"/>
        </w:rPr>
      </w:pPr>
      <w:bookmarkStart w:id="116" w:name="_Toc47384609"/>
      <w:bookmarkStart w:id="117" w:name="_Toc534833341"/>
      <w:bookmarkStart w:id="118" w:name="_Toc535399918"/>
      <w:r>
        <w:rPr>
          <w:rFonts w:hint="eastAsia" w:ascii="宋体" w:hAnsi="宋体"/>
          <w:sz w:val="24"/>
          <w:szCs w:val="24"/>
        </w:rPr>
        <w:t>3</w:t>
      </w:r>
      <w:r>
        <w:rPr>
          <w:rFonts w:ascii="宋体" w:hAnsi="宋体"/>
          <w:sz w:val="24"/>
          <w:szCs w:val="24"/>
        </w:rPr>
        <w:t>.3.4 表层土壤质地</w:t>
      </w:r>
      <w:bookmarkEnd w:id="116"/>
      <w:bookmarkEnd w:id="117"/>
      <w:bookmarkEnd w:id="118"/>
    </w:p>
    <w:p w14:paraId="5B483FE7">
      <w:pPr>
        <w:spacing w:line="500" w:lineRule="exact"/>
        <w:ind w:firstLine="480" w:firstLineChars="200"/>
        <w:rPr>
          <w:sz w:val="24"/>
        </w:rPr>
      </w:pPr>
      <w:r>
        <w:rPr>
          <w:sz w:val="24"/>
        </w:rPr>
        <w:t>从鄂州市2017年耕地质量更新评价数据库中获取鄂州市国有农用地表层土壤质地数据，并利用野外抽样调查所得到的土壤质地数据进行检验，得到鄂州市定级单元表层土壤质地量化表。具体见表</w:t>
      </w:r>
      <w:r>
        <w:rPr>
          <w:rFonts w:hint="eastAsia"/>
          <w:sz w:val="24"/>
        </w:rPr>
        <w:t>3</w:t>
      </w:r>
      <w:r>
        <w:rPr>
          <w:sz w:val="24"/>
        </w:rPr>
        <w:t>-7</w:t>
      </w:r>
      <w:r>
        <w:rPr>
          <w:rFonts w:hint="eastAsia"/>
          <w:sz w:val="24"/>
        </w:rPr>
        <w:t>。</w:t>
      </w:r>
    </w:p>
    <w:p w14:paraId="194BBACF">
      <w:pPr>
        <w:spacing w:line="500" w:lineRule="exact"/>
        <w:ind w:firstLine="480" w:firstLineChars="200"/>
        <w:rPr>
          <w:sz w:val="24"/>
        </w:rPr>
      </w:pPr>
    </w:p>
    <w:p w14:paraId="22029F4E">
      <w:pPr>
        <w:ind w:firstLine="422"/>
        <w:jc w:val="center"/>
        <w:rPr>
          <w:b/>
          <w:szCs w:val="21"/>
        </w:rPr>
      </w:pPr>
    </w:p>
    <w:p w14:paraId="258B244E">
      <w:pPr>
        <w:ind w:firstLine="422"/>
        <w:jc w:val="center"/>
        <w:rPr>
          <w:b/>
          <w:szCs w:val="21"/>
        </w:rPr>
      </w:pPr>
      <w:r>
        <w:rPr>
          <w:b/>
          <w:szCs w:val="21"/>
        </w:rPr>
        <w:t>表3-7鄂州市定级单元表层土壤质地等级表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1422"/>
        <w:gridCol w:w="1339"/>
        <w:gridCol w:w="1613"/>
        <w:gridCol w:w="1611"/>
      </w:tblGrid>
      <w:tr w14:paraId="7CF8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11" w:type="dxa"/>
            <w:vAlign w:val="center"/>
          </w:tcPr>
          <w:p w14:paraId="3B45E645">
            <w:pPr>
              <w:jc w:val="center"/>
              <w:rPr>
                <w:b/>
                <w:color w:val="000000"/>
                <w:kern w:val="0"/>
                <w:szCs w:val="21"/>
              </w:rPr>
            </w:pPr>
            <w:r>
              <w:rPr>
                <w:b/>
                <w:color w:val="000000"/>
                <w:kern w:val="0"/>
                <w:szCs w:val="21"/>
              </w:rPr>
              <w:t>等级</w:t>
            </w:r>
          </w:p>
        </w:tc>
        <w:tc>
          <w:tcPr>
            <w:tcW w:w="1422" w:type="dxa"/>
            <w:vAlign w:val="center"/>
          </w:tcPr>
          <w:p w14:paraId="3577B93E">
            <w:pPr>
              <w:jc w:val="center"/>
              <w:rPr>
                <w:b/>
                <w:color w:val="000000"/>
                <w:kern w:val="0"/>
                <w:szCs w:val="21"/>
              </w:rPr>
            </w:pPr>
            <w:r>
              <w:rPr>
                <w:b/>
                <w:color w:val="000000"/>
                <w:kern w:val="0"/>
                <w:szCs w:val="21"/>
              </w:rPr>
              <w:t>一级</w:t>
            </w:r>
          </w:p>
        </w:tc>
        <w:tc>
          <w:tcPr>
            <w:tcW w:w="1339" w:type="dxa"/>
            <w:vAlign w:val="center"/>
          </w:tcPr>
          <w:p w14:paraId="152D2297">
            <w:pPr>
              <w:jc w:val="center"/>
              <w:rPr>
                <w:b/>
                <w:color w:val="000000"/>
                <w:kern w:val="0"/>
                <w:szCs w:val="21"/>
              </w:rPr>
            </w:pPr>
            <w:r>
              <w:rPr>
                <w:b/>
                <w:color w:val="000000"/>
                <w:kern w:val="0"/>
                <w:szCs w:val="21"/>
              </w:rPr>
              <w:t>二级</w:t>
            </w:r>
          </w:p>
        </w:tc>
        <w:tc>
          <w:tcPr>
            <w:tcW w:w="1613" w:type="dxa"/>
            <w:vAlign w:val="center"/>
          </w:tcPr>
          <w:p w14:paraId="03CFF366">
            <w:pPr>
              <w:jc w:val="center"/>
              <w:rPr>
                <w:b/>
                <w:color w:val="000000"/>
                <w:kern w:val="0"/>
                <w:szCs w:val="21"/>
              </w:rPr>
            </w:pPr>
            <w:r>
              <w:rPr>
                <w:b/>
                <w:color w:val="000000"/>
                <w:kern w:val="0"/>
                <w:szCs w:val="21"/>
              </w:rPr>
              <w:t>三级</w:t>
            </w:r>
          </w:p>
        </w:tc>
        <w:tc>
          <w:tcPr>
            <w:tcW w:w="1611" w:type="dxa"/>
            <w:vAlign w:val="center"/>
          </w:tcPr>
          <w:p w14:paraId="24FF59DE">
            <w:pPr>
              <w:jc w:val="center"/>
              <w:rPr>
                <w:b/>
                <w:color w:val="000000"/>
                <w:kern w:val="0"/>
                <w:szCs w:val="21"/>
              </w:rPr>
            </w:pPr>
            <w:r>
              <w:rPr>
                <w:b/>
                <w:color w:val="000000"/>
                <w:kern w:val="0"/>
                <w:szCs w:val="21"/>
              </w:rPr>
              <w:t>四级</w:t>
            </w:r>
          </w:p>
        </w:tc>
      </w:tr>
      <w:tr w14:paraId="0A8F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11" w:type="dxa"/>
            <w:vAlign w:val="center"/>
          </w:tcPr>
          <w:p w14:paraId="0FF8DE2C">
            <w:pPr>
              <w:jc w:val="center"/>
              <w:rPr>
                <w:color w:val="000000"/>
                <w:kern w:val="0"/>
                <w:szCs w:val="21"/>
              </w:rPr>
            </w:pPr>
            <w:r>
              <w:rPr>
                <w:color w:val="000000"/>
                <w:szCs w:val="21"/>
              </w:rPr>
              <w:t>表层土壤质地</w:t>
            </w:r>
          </w:p>
        </w:tc>
        <w:tc>
          <w:tcPr>
            <w:tcW w:w="1422" w:type="dxa"/>
            <w:vAlign w:val="center"/>
          </w:tcPr>
          <w:p w14:paraId="742879E5">
            <w:pPr>
              <w:jc w:val="center"/>
              <w:rPr>
                <w:color w:val="000000"/>
                <w:kern w:val="0"/>
                <w:szCs w:val="21"/>
              </w:rPr>
            </w:pPr>
            <w:r>
              <w:rPr>
                <w:color w:val="000000"/>
                <w:kern w:val="0"/>
                <w:szCs w:val="21"/>
              </w:rPr>
              <w:t>壤土</w:t>
            </w:r>
          </w:p>
        </w:tc>
        <w:tc>
          <w:tcPr>
            <w:tcW w:w="1339" w:type="dxa"/>
            <w:vAlign w:val="center"/>
          </w:tcPr>
          <w:p w14:paraId="63B07660">
            <w:pPr>
              <w:jc w:val="center"/>
              <w:rPr>
                <w:color w:val="000000"/>
                <w:kern w:val="0"/>
                <w:szCs w:val="21"/>
              </w:rPr>
            </w:pPr>
            <w:r>
              <w:rPr>
                <w:color w:val="000000"/>
                <w:szCs w:val="21"/>
              </w:rPr>
              <w:t>粘土</w:t>
            </w:r>
          </w:p>
        </w:tc>
        <w:tc>
          <w:tcPr>
            <w:tcW w:w="1613" w:type="dxa"/>
            <w:vAlign w:val="center"/>
          </w:tcPr>
          <w:p w14:paraId="26F84308">
            <w:pPr>
              <w:jc w:val="center"/>
              <w:rPr>
                <w:color w:val="000000"/>
                <w:kern w:val="0"/>
                <w:szCs w:val="21"/>
              </w:rPr>
            </w:pPr>
            <w:r>
              <w:rPr>
                <w:color w:val="000000"/>
                <w:szCs w:val="21"/>
              </w:rPr>
              <w:t>砂土</w:t>
            </w:r>
          </w:p>
        </w:tc>
        <w:tc>
          <w:tcPr>
            <w:tcW w:w="1611" w:type="dxa"/>
            <w:vAlign w:val="center"/>
          </w:tcPr>
          <w:p w14:paraId="56A28E27">
            <w:pPr>
              <w:jc w:val="center"/>
              <w:rPr>
                <w:color w:val="000000"/>
                <w:kern w:val="0"/>
                <w:szCs w:val="21"/>
              </w:rPr>
            </w:pPr>
            <w:r>
              <w:rPr>
                <w:color w:val="000000"/>
                <w:szCs w:val="21"/>
              </w:rPr>
              <w:t>砾质土</w:t>
            </w:r>
          </w:p>
        </w:tc>
      </w:tr>
      <w:tr w14:paraId="66D4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11" w:type="dxa"/>
            <w:vAlign w:val="center"/>
          </w:tcPr>
          <w:p w14:paraId="7E615A58">
            <w:pPr>
              <w:jc w:val="center"/>
              <w:rPr>
                <w:color w:val="000000"/>
                <w:szCs w:val="21"/>
              </w:rPr>
            </w:pPr>
            <w:r>
              <w:rPr>
                <w:color w:val="000000"/>
                <w:szCs w:val="21"/>
              </w:rPr>
              <w:t>分值</w:t>
            </w:r>
          </w:p>
        </w:tc>
        <w:tc>
          <w:tcPr>
            <w:tcW w:w="1422" w:type="dxa"/>
            <w:vAlign w:val="center"/>
          </w:tcPr>
          <w:p w14:paraId="1744E7F7">
            <w:pPr>
              <w:jc w:val="center"/>
              <w:rPr>
                <w:color w:val="000000"/>
                <w:kern w:val="0"/>
                <w:szCs w:val="21"/>
              </w:rPr>
            </w:pPr>
            <w:r>
              <w:rPr>
                <w:color w:val="000000"/>
                <w:kern w:val="0"/>
                <w:szCs w:val="21"/>
              </w:rPr>
              <w:t>100</w:t>
            </w:r>
          </w:p>
        </w:tc>
        <w:tc>
          <w:tcPr>
            <w:tcW w:w="1339" w:type="dxa"/>
            <w:vAlign w:val="center"/>
          </w:tcPr>
          <w:p w14:paraId="2337E498">
            <w:pPr>
              <w:jc w:val="center"/>
              <w:rPr>
                <w:color w:val="000000"/>
                <w:szCs w:val="21"/>
              </w:rPr>
            </w:pPr>
            <w:r>
              <w:rPr>
                <w:color w:val="000000"/>
                <w:szCs w:val="21"/>
              </w:rPr>
              <w:t>80</w:t>
            </w:r>
          </w:p>
        </w:tc>
        <w:tc>
          <w:tcPr>
            <w:tcW w:w="1613" w:type="dxa"/>
            <w:vAlign w:val="center"/>
          </w:tcPr>
          <w:p w14:paraId="0518C525">
            <w:pPr>
              <w:jc w:val="center"/>
              <w:rPr>
                <w:color w:val="000000"/>
                <w:szCs w:val="21"/>
              </w:rPr>
            </w:pPr>
            <w:r>
              <w:rPr>
                <w:color w:val="000000"/>
                <w:szCs w:val="21"/>
              </w:rPr>
              <w:t>70</w:t>
            </w:r>
          </w:p>
        </w:tc>
        <w:tc>
          <w:tcPr>
            <w:tcW w:w="1611" w:type="dxa"/>
            <w:vAlign w:val="center"/>
          </w:tcPr>
          <w:p w14:paraId="77852F86">
            <w:pPr>
              <w:jc w:val="center"/>
              <w:rPr>
                <w:color w:val="000000"/>
                <w:szCs w:val="21"/>
              </w:rPr>
            </w:pPr>
            <w:r>
              <w:rPr>
                <w:color w:val="000000"/>
                <w:szCs w:val="21"/>
              </w:rPr>
              <w:t>50</w:t>
            </w:r>
          </w:p>
        </w:tc>
      </w:tr>
    </w:tbl>
    <w:p w14:paraId="5FAA948D">
      <w:pPr>
        <w:pStyle w:val="4"/>
        <w:widowControl w:val="0"/>
        <w:tabs>
          <w:tab w:val="left" w:pos="720"/>
        </w:tabs>
        <w:spacing w:before="120" w:after="120" w:line="500" w:lineRule="exact"/>
        <w:ind w:left="826" w:hanging="826"/>
        <w:jc w:val="both"/>
        <w:rPr>
          <w:rFonts w:ascii="宋体" w:hAnsi="宋体"/>
          <w:sz w:val="24"/>
          <w:szCs w:val="24"/>
        </w:rPr>
      </w:pPr>
      <w:bookmarkStart w:id="119" w:name="_Toc47384610"/>
      <w:bookmarkStart w:id="120" w:name="_Toc535399919"/>
      <w:bookmarkStart w:id="121" w:name="_Toc534833342"/>
      <w:r>
        <w:rPr>
          <w:rFonts w:hint="eastAsia" w:ascii="宋体" w:hAnsi="宋体"/>
          <w:sz w:val="24"/>
          <w:szCs w:val="24"/>
        </w:rPr>
        <w:t>3</w:t>
      </w:r>
      <w:r>
        <w:rPr>
          <w:rFonts w:ascii="宋体" w:hAnsi="宋体"/>
          <w:sz w:val="24"/>
          <w:szCs w:val="24"/>
        </w:rPr>
        <w:t>.3.5 土壤酸碱度</w:t>
      </w:r>
      <w:bookmarkEnd w:id="119"/>
      <w:bookmarkEnd w:id="120"/>
      <w:bookmarkEnd w:id="121"/>
    </w:p>
    <w:p w14:paraId="7E503482">
      <w:pPr>
        <w:spacing w:line="500" w:lineRule="exact"/>
        <w:ind w:firstLine="482"/>
        <w:rPr>
          <w:sz w:val="24"/>
        </w:rPr>
      </w:pPr>
      <w:r>
        <w:rPr>
          <w:sz w:val="24"/>
        </w:rPr>
        <w:t>从鄂州市2017年耕地质量更新评价数据库中获取鄂州市国有农用地土壤酸碱度数据，并利用野外抽样调查所得到的土壤酸碱度数据进行检验，得到鄂州市定级单元土壤酸碱度量化表。具体见表</w:t>
      </w:r>
      <w:r>
        <w:rPr>
          <w:rFonts w:hint="eastAsia"/>
          <w:sz w:val="24"/>
        </w:rPr>
        <w:t>3</w:t>
      </w:r>
      <w:r>
        <w:rPr>
          <w:sz w:val="24"/>
        </w:rPr>
        <w:t>-8</w:t>
      </w:r>
      <w:r>
        <w:rPr>
          <w:rFonts w:hint="eastAsia"/>
          <w:sz w:val="24"/>
        </w:rPr>
        <w:t>。</w:t>
      </w:r>
    </w:p>
    <w:p w14:paraId="0B146C94">
      <w:pPr>
        <w:spacing w:before="156" w:beforeLines="50"/>
        <w:ind w:firstLine="420"/>
        <w:jc w:val="center"/>
        <w:rPr>
          <w:b/>
          <w:szCs w:val="21"/>
        </w:rPr>
      </w:pPr>
      <w:r>
        <w:rPr>
          <w:b/>
          <w:szCs w:val="21"/>
        </w:rPr>
        <w:t>表3-8鄂州市定级单元土壤酸碱度等级表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1191"/>
        <w:gridCol w:w="1122"/>
        <w:gridCol w:w="1351"/>
        <w:gridCol w:w="1349"/>
        <w:gridCol w:w="1349"/>
      </w:tblGrid>
      <w:tr w14:paraId="7E1D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4" w:type="dxa"/>
            <w:vAlign w:val="center"/>
          </w:tcPr>
          <w:p w14:paraId="63A16B20">
            <w:pPr>
              <w:jc w:val="center"/>
              <w:rPr>
                <w:b/>
                <w:color w:val="000000"/>
                <w:kern w:val="0"/>
                <w:szCs w:val="21"/>
              </w:rPr>
            </w:pPr>
            <w:r>
              <w:rPr>
                <w:b/>
                <w:color w:val="000000"/>
                <w:kern w:val="0"/>
                <w:szCs w:val="21"/>
              </w:rPr>
              <w:t>等级</w:t>
            </w:r>
          </w:p>
        </w:tc>
        <w:tc>
          <w:tcPr>
            <w:tcW w:w="1191" w:type="dxa"/>
            <w:vAlign w:val="center"/>
          </w:tcPr>
          <w:p w14:paraId="6B81747B">
            <w:pPr>
              <w:jc w:val="center"/>
              <w:rPr>
                <w:b/>
                <w:color w:val="000000"/>
                <w:kern w:val="0"/>
                <w:szCs w:val="21"/>
              </w:rPr>
            </w:pPr>
            <w:r>
              <w:rPr>
                <w:b/>
                <w:color w:val="000000"/>
                <w:kern w:val="0"/>
                <w:szCs w:val="21"/>
              </w:rPr>
              <w:t>一级</w:t>
            </w:r>
          </w:p>
        </w:tc>
        <w:tc>
          <w:tcPr>
            <w:tcW w:w="1122" w:type="dxa"/>
            <w:vAlign w:val="center"/>
          </w:tcPr>
          <w:p w14:paraId="7C509BB1">
            <w:pPr>
              <w:jc w:val="center"/>
              <w:rPr>
                <w:b/>
                <w:color w:val="000000"/>
                <w:kern w:val="0"/>
                <w:szCs w:val="21"/>
              </w:rPr>
            </w:pPr>
            <w:r>
              <w:rPr>
                <w:b/>
                <w:color w:val="000000"/>
                <w:kern w:val="0"/>
                <w:szCs w:val="21"/>
              </w:rPr>
              <w:t>二级</w:t>
            </w:r>
          </w:p>
        </w:tc>
        <w:tc>
          <w:tcPr>
            <w:tcW w:w="1351" w:type="dxa"/>
            <w:vAlign w:val="center"/>
          </w:tcPr>
          <w:p w14:paraId="3DAF063F">
            <w:pPr>
              <w:jc w:val="center"/>
              <w:rPr>
                <w:b/>
                <w:color w:val="000000"/>
                <w:kern w:val="0"/>
                <w:szCs w:val="21"/>
              </w:rPr>
            </w:pPr>
            <w:r>
              <w:rPr>
                <w:b/>
                <w:color w:val="000000"/>
                <w:kern w:val="0"/>
                <w:szCs w:val="21"/>
              </w:rPr>
              <w:t>三级</w:t>
            </w:r>
          </w:p>
        </w:tc>
        <w:tc>
          <w:tcPr>
            <w:tcW w:w="1349" w:type="dxa"/>
            <w:vAlign w:val="center"/>
          </w:tcPr>
          <w:p w14:paraId="0344BEDC">
            <w:pPr>
              <w:jc w:val="center"/>
              <w:rPr>
                <w:b/>
                <w:color w:val="000000"/>
                <w:kern w:val="0"/>
                <w:szCs w:val="21"/>
              </w:rPr>
            </w:pPr>
            <w:r>
              <w:rPr>
                <w:b/>
                <w:color w:val="000000"/>
                <w:kern w:val="0"/>
                <w:szCs w:val="21"/>
              </w:rPr>
              <w:t>四级</w:t>
            </w:r>
          </w:p>
        </w:tc>
        <w:tc>
          <w:tcPr>
            <w:tcW w:w="1349" w:type="dxa"/>
          </w:tcPr>
          <w:p w14:paraId="7C3DA29D">
            <w:pPr>
              <w:jc w:val="center"/>
              <w:rPr>
                <w:b/>
                <w:color w:val="000000"/>
                <w:kern w:val="0"/>
                <w:szCs w:val="21"/>
              </w:rPr>
            </w:pPr>
            <w:r>
              <w:rPr>
                <w:b/>
                <w:color w:val="000000"/>
                <w:kern w:val="0"/>
                <w:szCs w:val="21"/>
              </w:rPr>
              <w:t>五级</w:t>
            </w:r>
          </w:p>
        </w:tc>
      </w:tr>
      <w:tr w14:paraId="4A60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4" w:type="dxa"/>
            <w:vAlign w:val="center"/>
          </w:tcPr>
          <w:p w14:paraId="1C4160C1">
            <w:pPr>
              <w:jc w:val="center"/>
              <w:rPr>
                <w:color w:val="000000"/>
                <w:kern w:val="0"/>
                <w:szCs w:val="21"/>
              </w:rPr>
            </w:pPr>
            <w:r>
              <w:rPr>
                <w:color w:val="000000"/>
                <w:szCs w:val="21"/>
              </w:rPr>
              <w:t>土壤酸碱度</w:t>
            </w:r>
          </w:p>
        </w:tc>
        <w:tc>
          <w:tcPr>
            <w:tcW w:w="1191" w:type="dxa"/>
            <w:vAlign w:val="center"/>
          </w:tcPr>
          <w:p w14:paraId="6F082087">
            <w:pPr>
              <w:jc w:val="center"/>
              <w:rPr>
                <w:color w:val="000000"/>
                <w:kern w:val="0"/>
                <w:szCs w:val="21"/>
              </w:rPr>
            </w:pPr>
            <w:r>
              <w:rPr>
                <w:color w:val="000000"/>
                <w:kern w:val="0"/>
                <w:szCs w:val="21"/>
              </w:rPr>
              <w:t>6.0-7.9</w:t>
            </w:r>
          </w:p>
        </w:tc>
        <w:tc>
          <w:tcPr>
            <w:tcW w:w="1122" w:type="dxa"/>
            <w:vAlign w:val="center"/>
          </w:tcPr>
          <w:p w14:paraId="3B928B48">
            <w:pPr>
              <w:jc w:val="center"/>
              <w:rPr>
                <w:color w:val="000000"/>
                <w:szCs w:val="21"/>
              </w:rPr>
            </w:pPr>
            <w:r>
              <w:rPr>
                <w:color w:val="000000"/>
                <w:szCs w:val="21"/>
              </w:rPr>
              <w:t>5.5-6.0</w:t>
            </w:r>
          </w:p>
          <w:p w14:paraId="4C4F3223">
            <w:pPr>
              <w:jc w:val="center"/>
              <w:rPr>
                <w:color w:val="000000"/>
                <w:kern w:val="0"/>
                <w:szCs w:val="21"/>
              </w:rPr>
            </w:pPr>
            <w:r>
              <w:rPr>
                <w:color w:val="000000"/>
                <w:szCs w:val="21"/>
              </w:rPr>
              <w:t>7.9-8.5</w:t>
            </w:r>
          </w:p>
        </w:tc>
        <w:tc>
          <w:tcPr>
            <w:tcW w:w="1351" w:type="dxa"/>
            <w:vAlign w:val="center"/>
          </w:tcPr>
          <w:p w14:paraId="0D0A77EB">
            <w:pPr>
              <w:jc w:val="center"/>
              <w:rPr>
                <w:color w:val="000000"/>
                <w:szCs w:val="21"/>
              </w:rPr>
            </w:pPr>
            <w:r>
              <w:rPr>
                <w:color w:val="000000"/>
                <w:szCs w:val="21"/>
              </w:rPr>
              <w:t>5.0-5.5</w:t>
            </w:r>
          </w:p>
          <w:p w14:paraId="3C9B7D1E">
            <w:pPr>
              <w:jc w:val="center"/>
              <w:rPr>
                <w:color w:val="000000"/>
                <w:kern w:val="0"/>
                <w:szCs w:val="21"/>
              </w:rPr>
            </w:pPr>
            <w:r>
              <w:rPr>
                <w:color w:val="000000"/>
                <w:szCs w:val="21"/>
              </w:rPr>
              <w:t>8.5-9.5</w:t>
            </w:r>
          </w:p>
        </w:tc>
        <w:tc>
          <w:tcPr>
            <w:tcW w:w="1349" w:type="dxa"/>
            <w:vAlign w:val="center"/>
          </w:tcPr>
          <w:p w14:paraId="3CE2A667">
            <w:pPr>
              <w:jc w:val="center"/>
              <w:rPr>
                <w:color w:val="000000"/>
                <w:kern w:val="0"/>
                <w:szCs w:val="21"/>
              </w:rPr>
            </w:pPr>
            <w:r>
              <w:rPr>
                <w:color w:val="000000"/>
                <w:szCs w:val="21"/>
              </w:rPr>
              <w:t>4.5-5.0</w:t>
            </w:r>
          </w:p>
        </w:tc>
        <w:tc>
          <w:tcPr>
            <w:tcW w:w="1349" w:type="dxa"/>
          </w:tcPr>
          <w:p w14:paraId="03FF07E1">
            <w:pPr>
              <w:jc w:val="center"/>
              <w:rPr>
                <w:color w:val="000000"/>
                <w:szCs w:val="21"/>
              </w:rPr>
            </w:pPr>
            <w:r>
              <w:rPr>
                <w:color w:val="000000"/>
                <w:szCs w:val="21"/>
              </w:rPr>
              <w:t>＜4.5</w:t>
            </w:r>
          </w:p>
          <w:p w14:paraId="00B00299">
            <w:pPr>
              <w:jc w:val="center"/>
              <w:rPr>
                <w:color w:val="000000"/>
                <w:szCs w:val="21"/>
              </w:rPr>
            </w:pPr>
            <w:r>
              <w:rPr>
                <w:color w:val="000000"/>
                <w:szCs w:val="21"/>
              </w:rPr>
              <w:t>＞9.5</w:t>
            </w:r>
          </w:p>
        </w:tc>
      </w:tr>
      <w:tr w14:paraId="1E16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4" w:type="dxa"/>
            <w:vAlign w:val="center"/>
          </w:tcPr>
          <w:p w14:paraId="6C2EDDA8">
            <w:pPr>
              <w:jc w:val="center"/>
              <w:rPr>
                <w:color w:val="000000"/>
                <w:szCs w:val="21"/>
              </w:rPr>
            </w:pPr>
            <w:r>
              <w:rPr>
                <w:color w:val="000000"/>
                <w:szCs w:val="21"/>
              </w:rPr>
              <w:t>分值</w:t>
            </w:r>
          </w:p>
        </w:tc>
        <w:tc>
          <w:tcPr>
            <w:tcW w:w="1191" w:type="dxa"/>
            <w:vAlign w:val="center"/>
          </w:tcPr>
          <w:p w14:paraId="6148F6CD">
            <w:pPr>
              <w:jc w:val="center"/>
              <w:rPr>
                <w:color w:val="000000"/>
                <w:kern w:val="0"/>
                <w:szCs w:val="21"/>
              </w:rPr>
            </w:pPr>
            <w:r>
              <w:rPr>
                <w:color w:val="000000"/>
                <w:kern w:val="0"/>
                <w:szCs w:val="21"/>
              </w:rPr>
              <w:t>100</w:t>
            </w:r>
          </w:p>
        </w:tc>
        <w:tc>
          <w:tcPr>
            <w:tcW w:w="1122" w:type="dxa"/>
            <w:vAlign w:val="center"/>
          </w:tcPr>
          <w:p w14:paraId="25E470D9">
            <w:pPr>
              <w:jc w:val="center"/>
              <w:rPr>
                <w:color w:val="000000"/>
                <w:szCs w:val="21"/>
              </w:rPr>
            </w:pPr>
            <w:r>
              <w:rPr>
                <w:color w:val="000000"/>
                <w:szCs w:val="21"/>
              </w:rPr>
              <w:t>90</w:t>
            </w:r>
          </w:p>
        </w:tc>
        <w:tc>
          <w:tcPr>
            <w:tcW w:w="1351" w:type="dxa"/>
            <w:vAlign w:val="center"/>
          </w:tcPr>
          <w:p w14:paraId="5B81D12E">
            <w:pPr>
              <w:jc w:val="center"/>
              <w:rPr>
                <w:color w:val="000000"/>
                <w:szCs w:val="21"/>
              </w:rPr>
            </w:pPr>
            <w:r>
              <w:rPr>
                <w:color w:val="000000"/>
                <w:szCs w:val="21"/>
              </w:rPr>
              <w:t>60</w:t>
            </w:r>
          </w:p>
        </w:tc>
        <w:tc>
          <w:tcPr>
            <w:tcW w:w="1349" w:type="dxa"/>
            <w:vAlign w:val="center"/>
          </w:tcPr>
          <w:p w14:paraId="448B9C6D">
            <w:pPr>
              <w:jc w:val="center"/>
              <w:rPr>
                <w:color w:val="000000"/>
                <w:szCs w:val="21"/>
              </w:rPr>
            </w:pPr>
            <w:r>
              <w:rPr>
                <w:color w:val="000000"/>
                <w:szCs w:val="21"/>
              </w:rPr>
              <w:t>50</w:t>
            </w:r>
          </w:p>
        </w:tc>
        <w:tc>
          <w:tcPr>
            <w:tcW w:w="1349" w:type="dxa"/>
          </w:tcPr>
          <w:p w14:paraId="4ACCEBC4">
            <w:pPr>
              <w:jc w:val="center"/>
              <w:rPr>
                <w:color w:val="000000"/>
                <w:szCs w:val="21"/>
              </w:rPr>
            </w:pPr>
            <w:r>
              <w:rPr>
                <w:color w:val="000000"/>
                <w:szCs w:val="21"/>
              </w:rPr>
              <w:t>30</w:t>
            </w:r>
          </w:p>
        </w:tc>
      </w:tr>
    </w:tbl>
    <w:p w14:paraId="6B00550D">
      <w:pPr>
        <w:pStyle w:val="4"/>
        <w:widowControl w:val="0"/>
        <w:tabs>
          <w:tab w:val="left" w:pos="720"/>
        </w:tabs>
        <w:spacing w:before="120" w:after="120" w:line="500" w:lineRule="exact"/>
        <w:ind w:left="826" w:hanging="826"/>
        <w:jc w:val="both"/>
        <w:rPr>
          <w:rFonts w:ascii="宋体" w:hAnsi="宋体"/>
          <w:sz w:val="24"/>
          <w:szCs w:val="24"/>
        </w:rPr>
      </w:pPr>
      <w:bookmarkStart w:id="122" w:name="_Toc535399920"/>
      <w:bookmarkStart w:id="123" w:name="_Toc534833343"/>
      <w:bookmarkStart w:id="124" w:name="_Toc47384611"/>
      <w:r>
        <w:rPr>
          <w:rFonts w:hint="eastAsia" w:ascii="宋体" w:hAnsi="宋体"/>
          <w:sz w:val="24"/>
          <w:szCs w:val="24"/>
        </w:rPr>
        <w:t>3</w:t>
      </w:r>
      <w:r>
        <w:rPr>
          <w:rFonts w:ascii="宋体" w:hAnsi="宋体"/>
          <w:sz w:val="24"/>
          <w:szCs w:val="24"/>
        </w:rPr>
        <w:t>.3.6 障碍层深度</w:t>
      </w:r>
      <w:bookmarkEnd w:id="122"/>
      <w:bookmarkEnd w:id="123"/>
      <w:bookmarkEnd w:id="124"/>
    </w:p>
    <w:p w14:paraId="4249E80E">
      <w:pPr>
        <w:spacing w:line="500" w:lineRule="exact"/>
        <w:ind w:firstLine="480" w:firstLineChars="200"/>
        <w:rPr>
          <w:sz w:val="24"/>
        </w:rPr>
      </w:pPr>
      <w:r>
        <w:rPr>
          <w:sz w:val="24"/>
        </w:rPr>
        <w:t>从鄂州市2017年耕地质量更新评价数据库中获取鄂州市国有农用地障碍层深度数据，并利用野外抽样调查所得到的障碍层深度数据进行检验，得到鄂州市定级单元障碍层深度量化表。具体见表</w:t>
      </w:r>
      <w:r>
        <w:rPr>
          <w:rFonts w:hint="eastAsia"/>
          <w:sz w:val="24"/>
        </w:rPr>
        <w:t>3</w:t>
      </w:r>
      <w:r>
        <w:rPr>
          <w:sz w:val="24"/>
        </w:rPr>
        <w:t>-9</w:t>
      </w:r>
      <w:r>
        <w:rPr>
          <w:rFonts w:hint="eastAsia"/>
          <w:sz w:val="24"/>
        </w:rPr>
        <w:t>。</w:t>
      </w:r>
    </w:p>
    <w:p w14:paraId="745E6BE0">
      <w:pPr>
        <w:ind w:firstLine="422"/>
        <w:jc w:val="center"/>
        <w:rPr>
          <w:b/>
          <w:szCs w:val="21"/>
        </w:rPr>
      </w:pPr>
    </w:p>
    <w:p w14:paraId="7503EE1B">
      <w:pPr>
        <w:ind w:firstLine="422"/>
        <w:jc w:val="center"/>
        <w:rPr>
          <w:b/>
          <w:szCs w:val="21"/>
        </w:rPr>
      </w:pPr>
      <w:r>
        <w:rPr>
          <w:b/>
          <w:szCs w:val="21"/>
        </w:rPr>
        <w:t>表3-9鄂州市定级单元障碍层深度等级表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1191"/>
        <w:gridCol w:w="1122"/>
        <w:gridCol w:w="1351"/>
        <w:gridCol w:w="1349"/>
        <w:gridCol w:w="1349"/>
      </w:tblGrid>
      <w:tr w14:paraId="3B36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934" w:type="dxa"/>
            <w:vAlign w:val="center"/>
          </w:tcPr>
          <w:p w14:paraId="3C392BD0">
            <w:pPr>
              <w:jc w:val="center"/>
              <w:rPr>
                <w:b/>
                <w:color w:val="000000"/>
                <w:kern w:val="0"/>
                <w:szCs w:val="21"/>
              </w:rPr>
            </w:pPr>
            <w:r>
              <w:rPr>
                <w:b/>
                <w:color w:val="000000"/>
                <w:kern w:val="0"/>
                <w:szCs w:val="21"/>
              </w:rPr>
              <w:t>等级</w:t>
            </w:r>
          </w:p>
        </w:tc>
        <w:tc>
          <w:tcPr>
            <w:tcW w:w="1191" w:type="dxa"/>
            <w:vAlign w:val="center"/>
          </w:tcPr>
          <w:p w14:paraId="778218FD">
            <w:pPr>
              <w:jc w:val="center"/>
              <w:rPr>
                <w:b/>
                <w:color w:val="000000"/>
                <w:kern w:val="0"/>
                <w:szCs w:val="21"/>
              </w:rPr>
            </w:pPr>
            <w:r>
              <w:rPr>
                <w:b/>
                <w:color w:val="000000"/>
                <w:kern w:val="0"/>
                <w:szCs w:val="21"/>
              </w:rPr>
              <w:t>一级</w:t>
            </w:r>
          </w:p>
        </w:tc>
        <w:tc>
          <w:tcPr>
            <w:tcW w:w="1122" w:type="dxa"/>
            <w:vAlign w:val="center"/>
          </w:tcPr>
          <w:p w14:paraId="453EDB0E">
            <w:pPr>
              <w:jc w:val="center"/>
              <w:rPr>
                <w:b/>
                <w:color w:val="000000"/>
                <w:kern w:val="0"/>
                <w:szCs w:val="21"/>
              </w:rPr>
            </w:pPr>
            <w:r>
              <w:rPr>
                <w:b/>
                <w:color w:val="000000"/>
                <w:kern w:val="0"/>
                <w:szCs w:val="21"/>
              </w:rPr>
              <w:t>二级</w:t>
            </w:r>
          </w:p>
        </w:tc>
        <w:tc>
          <w:tcPr>
            <w:tcW w:w="1351" w:type="dxa"/>
            <w:vAlign w:val="center"/>
          </w:tcPr>
          <w:p w14:paraId="2C9E3AC4">
            <w:pPr>
              <w:jc w:val="center"/>
              <w:rPr>
                <w:b/>
                <w:color w:val="000000"/>
                <w:kern w:val="0"/>
                <w:szCs w:val="21"/>
              </w:rPr>
            </w:pPr>
            <w:r>
              <w:rPr>
                <w:b/>
                <w:color w:val="000000"/>
                <w:kern w:val="0"/>
                <w:szCs w:val="21"/>
              </w:rPr>
              <w:t>三级</w:t>
            </w:r>
          </w:p>
        </w:tc>
        <w:tc>
          <w:tcPr>
            <w:tcW w:w="1349" w:type="dxa"/>
            <w:vAlign w:val="center"/>
          </w:tcPr>
          <w:p w14:paraId="326768D8">
            <w:pPr>
              <w:jc w:val="center"/>
              <w:rPr>
                <w:b/>
                <w:color w:val="000000"/>
                <w:kern w:val="0"/>
                <w:szCs w:val="21"/>
              </w:rPr>
            </w:pPr>
            <w:r>
              <w:rPr>
                <w:b/>
                <w:color w:val="000000"/>
                <w:kern w:val="0"/>
                <w:szCs w:val="21"/>
              </w:rPr>
              <w:t>四级</w:t>
            </w:r>
          </w:p>
        </w:tc>
        <w:tc>
          <w:tcPr>
            <w:tcW w:w="1349" w:type="dxa"/>
          </w:tcPr>
          <w:p w14:paraId="37A5D29B">
            <w:pPr>
              <w:jc w:val="center"/>
              <w:rPr>
                <w:b/>
                <w:color w:val="000000"/>
                <w:kern w:val="0"/>
                <w:szCs w:val="21"/>
              </w:rPr>
            </w:pPr>
            <w:r>
              <w:rPr>
                <w:b/>
                <w:color w:val="000000"/>
                <w:kern w:val="0"/>
                <w:szCs w:val="21"/>
              </w:rPr>
              <w:t>五级</w:t>
            </w:r>
          </w:p>
        </w:tc>
      </w:tr>
      <w:tr w14:paraId="129F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4" w:type="dxa"/>
            <w:vAlign w:val="center"/>
          </w:tcPr>
          <w:p w14:paraId="16369CB2">
            <w:pPr>
              <w:jc w:val="center"/>
              <w:rPr>
                <w:color w:val="000000"/>
                <w:kern w:val="0"/>
                <w:szCs w:val="21"/>
              </w:rPr>
            </w:pPr>
            <w:r>
              <w:rPr>
                <w:szCs w:val="21"/>
              </w:rPr>
              <w:t>障碍层深度</w:t>
            </w:r>
          </w:p>
        </w:tc>
        <w:tc>
          <w:tcPr>
            <w:tcW w:w="1191" w:type="dxa"/>
            <w:vAlign w:val="center"/>
          </w:tcPr>
          <w:p w14:paraId="2D456010">
            <w:pPr>
              <w:jc w:val="center"/>
              <w:rPr>
                <w:color w:val="000000"/>
                <w:kern w:val="0"/>
                <w:szCs w:val="21"/>
              </w:rPr>
            </w:pPr>
            <w:r>
              <w:rPr>
                <w:color w:val="000000"/>
                <w:kern w:val="0"/>
                <w:szCs w:val="21"/>
              </w:rPr>
              <w:t>≥150</w:t>
            </w:r>
          </w:p>
        </w:tc>
        <w:tc>
          <w:tcPr>
            <w:tcW w:w="1122" w:type="dxa"/>
            <w:vAlign w:val="center"/>
          </w:tcPr>
          <w:p w14:paraId="2AEE94FD">
            <w:pPr>
              <w:jc w:val="center"/>
              <w:rPr>
                <w:color w:val="000000"/>
                <w:kern w:val="0"/>
                <w:szCs w:val="21"/>
              </w:rPr>
            </w:pPr>
            <w:r>
              <w:rPr>
                <w:color w:val="000000"/>
                <w:szCs w:val="21"/>
              </w:rPr>
              <w:t>100-150</w:t>
            </w:r>
          </w:p>
        </w:tc>
        <w:tc>
          <w:tcPr>
            <w:tcW w:w="1351" w:type="dxa"/>
            <w:vAlign w:val="center"/>
          </w:tcPr>
          <w:p w14:paraId="1F774DF6">
            <w:pPr>
              <w:jc w:val="center"/>
              <w:rPr>
                <w:color w:val="000000"/>
                <w:kern w:val="0"/>
                <w:szCs w:val="21"/>
              </w:rPr>
            </w:pPr>
            <w:r>
              <w:rPr>
                <w:color w:val="000000"/>
                <w:szCs w:val="21"/>
              </w:rPr>
              <w:t>60-100</w:t>
            </w:r>
          </w:p>
        </w:tc>
        <w:tc>
          <w:tcPr>
            <w:tcW w:w="1349" w:type="dxa"/>
            <w:vAlign w:val="center"/>
          </w:tcPr>
          <w:p w14:paraId="1199C8EB">
            <w:pPr>
              <w:jc w:val="center"/>
              <w:rPr>
                <w:color w:val="000000"/>
                <w:kern w:val="0"/>
                <w:szCs w:val="21"/>
              </w:rPr>
            </w:pPr>
            <w:r>
              <w:rPr>
                <w:color w:val="000000"/>
                <w:szCs w:val="21"/>
              </w:rPr>
              <w:t>30-60</w:t>
            </w:r>
          </w:p>
        </w:tc>
        <w:tc>
          <w:tcPr>
            <w:tcW w:w="1349" w:type="dxa"/>
          </w:tcPr>
          <w:p w14:paraId="2881AF24">
            <w:pPr>
              <w:jc w:val="center"/>
              <w:rPr>
                <w:color w:val="000000"/>
                <w:szCs w:val="21"/>
              </w:rPr>
            </w:pPr>
            <w:r>
              <w:rPr>
                <w:color w:val="000000"/>
                <w:szCs w:val="21"/>
              </w:rPr>
              <w:t>＜30</w:t>
            </w:r>
          </w:p>
        </w:tc>
      </w:tr>
      <w:tr w14:paraId="3E7D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4" w:type="dxa"/>
            <w:vAlign w:val="center"/>
          </w:tcPr>
          <w:p w14:paraId="74636456">
            <w:pPr>
              <w:jc w:val="center"/>
              <w:rPr>
                <w:color w:val="000000"/>
                <w:szCs w:val="21"/>
              </w:rPr>
            </w:pPr>
            <w:r>
              <w:rPr>
                <w:color w:val="000000"/>
                <w:szCs w:val="21"/>
              </w:rPr>
              <w:t>分值</w:t>
            </w:r>
          </w:p>
        </w:tc>
        <w:tc>
          <w:tcPr>
            <w:tcW w:w="1191" w:type="dxa"/>
            <w:vAlign w:val="center"/>
          </w:tcPr>
          <w:p w14:paraId="7A6E5A9A">
            <w:pPr>
              <w:jc w:val="center"/>
              <w:rPr>
                <w:color w:val="000000"/>
                <w:kern w:val="0"/>
                <w:szCs w:val="21"/>
              </w:rPr>
            </w:pPr>
            <w:r>
              <w:rPr>
                <w:color w:val="000000"/>
                <w:kern w:val="0"/>
                <w:szCs w:val="21"/>
              </w:rPr>
              <w:t>100</w:t>
            </w:r>
          </w:p>
        </w:tc>
        <w:tc>
          <w:tcPr>
            <w:tcW w:w="1122" w:type="dxa"/>
            <w:vAlign w:val="center"/>
          </w:tcPr>
          <w:p w14:paraId="5BC5AF30">
            <w:pPr>
              <w:jc w:val="center"/>
              <w:rPr>
                <w:color w:val="000000"/>
                <w:szCs w:val="21"/>
              </w:rPr>
            </w:pPr>
            <w:r>
              <w:rPr>
                <w:color w:val="000000"/>
                <w:szCs w:val="21"/>
              </w:rPr>
              <w:t>90</w:t>
            </w:r>
          </w:p>
        </w:tc>
        <w:tc>
          <w:tcPr>
            <w:tcW w:w="1351" w:type="dxa"/>
            <w:vAlign w:val="center"/>
          </w:tcPr>
          <w:p w14:paraId="0BBC4F46">
            <w:pPr>
              <w:jc w:val="center"/>
              <w:rPr>
                <w:color w:val="000000"/>
                <w:szCs w:val="21"/>
              </w:rPr>
            </w:pPr>
            <w:r>
              <w:rPr>
                <w:color w:val="000000"/>
                <w:szCs w:val="21"/>
              </w:rPr>
              <w:t>70</w:t>
            </w:r>
          </w:p>
        </w:tc>
        <w:tc>
          <w:tcPr>
            <w:tcW w:w="1349" w:type="dxa"/>
            <w:vAlign w:val="center"/>
          </w:tcPr>
          <w:p w14:paraId="48DEBE75">
            <w:pPr>
              <w:jc w:val="center"/>
              <w:rPr>
                <w:color w:val="000000"/>
                <w:szCs w:val="21"/>
              </w:rPr>
            </w:pPr>
            <w:r>
              <w:rPr>
                <w:color w:val="000000"/>
                <w:szCs w:val="21"/>
              </w:rPr>
              <w:t>50</w:t>
            </w:r>
          </w:p>
        </w:tc>
        <w:tc>
          <w:tcPr>
            <w:tcW w:w="1349" w:type="dxa"/>
          </w:tcPr>
          <w:p w14:paraId="51AAAD1D">
            <w:pPr>
              <w:jc w:val="center"/>
              <w:rPr>
                <w:color w:val="000000"/>
                <w:szCs w:val="21"/>
              </w:rPr>
            </w:pPr>
            <w:r>
              <w:rPr>
                <w:color w:val="000000"/>
                <w:szCs w:val="21"/>
              </w:rPr>
              <w:t>20</w:t>
            </w:r>
          </w:p>
        </w:tc>
      </w:tr>
    </w:tbl>
    <w:p w14:paraId="6D075EE3">
      <w:pPr>
        <w:pStyle w:val="4"/>
        <w:widowControl w:val="0"/>
        <w:tabs>
          <w:tab w:val="left" w:pos="720"/>
        </w:tabs>
        <w:spacing w:before="120" w:after="120" w:line="500" w:lineRule="exact"/>
        <w:ind w:left="826" w:hanging="826"/>
        <w:jc w:val="both"/>
        <w:rPr>
          <w:rFonts w:ascii="宋体" w:hAnsi="宋体"/>
          <w:sz w:val="24"/>
          <w:szCs w:val="24"/>
        </w:rPr>
      </w:pPr>
      <w:bookmarkStart w:id="125" w:name="_Toc535399921"/>
      <w:bookmarkStart w:id="126" w:name="_Toc47384612"/>
      <w:bookmarkStart w:id="127" w:name="_Toc534833344"/>
      <w:r>
        <w:rPr>
          <w:rFonts w:hint="eastAsia" w:ascii="宋体" w:hAnsi="宋体"/>
          <w:sz w:val="24"/>
          <w:szCs w:val="24"/>
        </w:rPr>
        <w:t>3</w:t>
      </w:r>
      <w:r>
        <w:rPr>
          <w:rFonts w:ascii="宋体" w:hAnsi="宋体"/>
          <w:sz w:val="24"/>
          <w:szCs w:val="24"/>
        </w:rPr>
        <w:t>.3.7 地下水埋深</w:t>
      </w:r>
      <w:bookmarkEnd w:id="125"/>
      <w:bookmarkEnd w:id="126"/>
      <w:bookmarkEnd w:id="127"/>
    </w:p>
    <w:p w14:paraId="328DCEFB">
      <w:pPr>
        <w:spacing w:line="500" w:lineRule="exact"/>
        <w:ind w:firstLine="480" w:firstLineChars="200"/>
        <w:rPr>
          <w:sz w:val="24"/>
        </w:rPr>
      </w:pPr>
      <w:r>
        <w:rPr>
          <w:sz w:val="24"/>
        </w:rPr>
        <w:t>根据鄂州市2017年耕地质量更新评价数据库中获取的地下水位距地表的距离，将鄂州市地下水埋深划分为三个等级。具体</w:t>
      </w:r>
      <w:r>
        <w:rPr>
          <w:rFonts w:hint="eastAsia"/>
          <w:sz w:val="24"/>
        </w:rPr>
        <w:t>见</w:t>
      </w:r>
      <w:r>
        <w:rPr>
          <w:sz w:val="24"/>
        </w:rPr>
        <w:t>表</w:t>
      </w:r>
      <w:r>
        <w:rPr>
          <w:rFonts w:hint="eastAsia"/>
          <w:sz w:val="24"/>
        </w:rPr>
        <w:t>3</w:t>
      </w:r>
      <w:r>
        <w:rPr>
          <w:sz w:val="24"/>
        </w:rPr>
        <w:t>-10</w:t>
      </w:r>
      <w:r>
        <w:rPr>
          <w:rFonts w:hint="eastAsia"/>
          <w:sz w:val="24"/>
        </w:rPr>
        <w:t>。</w:t>
      </w:r>
    </w:p>
    <w:p w14:paraId="3A676729">
      <w:pPr>
        <w:ind w:firstLine="422"/>
        <w:jc w:val="center"/>
        <w:rPr>
          <w:b/>
          <w:szCs w:val="21"/>
        </w:rPr>
      </w:pPr>
      <w:r>
        <w:rPr>
          <w:b/>
          <w:szCs w:val="21"/>
        </w:rPr>
        <w:t>表3-10鄂州市定级单元障碍层深度等级表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5"/>
        <w:gridCol w:w="1765"/>
        <w:gridCol w:w="1663"/>
        <w:gridCol w:w="2003"/>
      </w:tblGrid>
      <w:tr w14:paraId="410A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865" w:type="dxa"/>
            <w:vAlign w:val="center"/>
          </w:tcPr>
          <w:p w14:paraId="4052B53C">
            <w:pPr>
              <w:ind w:firstLine="1054" w:firstLineChars="500"/>
              <w:rPr>
                <w:b/>
                <w:color w:val="000000"/>
                <w:kern w:val="0"/>
                <w:szCs w:val="21"/>
              </w:rPr>
            </w:pPr>
            <w:r>
              <w:rPr>
                <w:b/>
                <w:color w:val="000000"/>
                <w:kern w:val="0"/>
                <w:szCs w:val="21"/>
              </w:rPr>
              <w:t>等级</w:t>
            </w:r>
          </w:p>
        </w:tc>
        <w:tc>
          <w:tcPr>
            <w:tcW w:w="1765" w:type="dxa"/>
            <w:vAlign w:val="center"/>
          </w:tcPr>
          <w:p w14:paraId="16DB87B1">
            <w:pPr>
              <w:ind w:firstLine="527" w:firstLineChars="250"/>
              <w:rPr>
                <w:b/>
                <w:color w:val="000000"/>
                <w:kern w:val="0"/>
                <w:szCs w:val="21"/>
              </w:rPr>
            </w:pPr>
            <w:r>
              <w:rPr>
                <w:b/>
                <w:color w:val="000000"/>
                <w:kern w:val="0"/>
                <w:szCs w:val="21"/>
              </w:rPr>
              <w:t>一级</w:t>
            </w:r>
          </w:p>
        </w:tc>
        <w:tc>
          <w:tcPr>
            <w:tcW w:w="1663" w:type="dxa"/>
            <w:vAlign w:val="center"/>
          </w:tcPr>
          <w:p w14:paraId="4E524251">
            <w:pPr>
              <w:ind w:firstLine="527" w:firstLineChars="250"/>
              <w:rPr>
                <w:b/>
                <w:color w:val="000000"/>
                <w:kern w:val="0"/>
                <w:szCs w:val="21"/>
              </w:rPr>
            </w:pPr>
            <w:r>
              <w:rPr>
                <w:b/>
                <w:color w:val="000000"/>
                <w:kern w:val="0"/>
                <w:szCs w:val="21"/>
              </w:rPr>
              <w:t>二级</w:t>
            </w:r>
          </w:p>
        </w:tc>
        <w:tc>
          <w:tcPr>
            <w:tcW w:w="2003" w:type="dxa"/>
            <w:vAlign w:val="center"/>
          </w:tcPr>
          <w:p w14:paraId="75596F1A">
            <w:pPr>
              <w:ind w:firstLine="632" w:firstLineChars="300"/>
              <w:rPr>
                <w:b/>
                <w:color w:val="000000"/>
                <w:kern w:val="0"/>
                <w:szCs w:val="21"/>
              </w:rPr>
            </w:pPr>
            <w:r>
              <w:rPr>
                <w:b/>
                <w:color w:val="000000"/>
                <w:kern w:val="0"/>
                <w:szCs w:val="21"/>
              </w:rPr>
              <w:t>三级</w:t>
            </w:r>
          </w:p>
        </w:tc>
      </w:tr>
      <w:tr w14:paraId="636D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865" w:type="dxa"/>
            <w:vAlign w:val="center"/>
          </w:tcPr>
          <w:p w14:paraId="66A8BC07">
            <w:pPr>
              <w:ind w:firstLine="735" w:firstLineChars="350"/>
              <w:rPr>
                <w:color w:val="000000"/>
                <w:kern w:val="0"/>
                <w:szCs w:val="21"/>
              </w:rPr>
            </w:pPr>
            <w:r>
              <w:rPr>
                <w:szCs w:val="21"/>
              </w:rPr>
              <w:t>障碍层深度</w:t>
            </w:r>
          </w:p>
        </w:tc>
        <w:tc>
          <w:tcPr>
            <w:tcW w:w="1765" w:type="dxa"/>
            <w:vAlign w:val="center"/>
          </w:tcPr>
          <w:p w14:paraId="13C86B65">
            <w:pPr>
              <w:ind w:firstLine="525" w:firstLineChars="250"/>
              <w:rPr>
                <w:color w:val="000000"/>
                <w:kern w:val="0"/>
                <w:szCs w:val="21"/>
              </w:rPr>
            </w:pPr>
            <w:r>
              <w:rPr>
                <w:color w:val="000000"/>
                <w:kern w:val="0"/>
                <w:szCs w:val="21"/>
              </w:rPr>
              <w:t>浅位</w:t>
            </w:r>
          </w:p>
        </w:tc>
        <w:tc>
          <w:tcPr>
            <w:tcW w:w="1663" w:type="dxa"/>
            <w:vAlign w:val="center"/>
          </w:tcPr>
          <w:p w14:paraId="4166241B">
            <w:pPr>
              <w:ind w:firstLine="525" w:firstLineChars="250"/>
              <w:rPr>
                <w:color w:val="000000"/>
                <w:kern w:val="0"/>
                <w:szCs w:val="21"/>
              </w:rPr>
            </w:pPr>
            <w:r>
              <w:rPr>
                <w:color w:val="000000"/>
                <w:szCs w:val="21"/>
              </w:rPr>
              <w:t>中位</w:t>
            </w:r>
          </w:p>
        </w:tc>
        <w:tc>
          <w:tcPr>
            <w:tcW w:w="2003" w:type="dxa"/>
            <w:vAlign w:val="center"/>
          </w:tcPr>
          <w:p w14:paraId="65A87918">
            <w:pPr>
              <w:ind w:firstLine="630" w:firstLineChars="300"/>
              <w:rPr>
                <w:color w:val="000000"/>
                <w:kern w:val="0"/>
                <w:szCs w:val="21"/>
              </w:rPr>
            </w:pPr>
            <w:r>
              <w:rPr>
                <w:color w:val="000000"/>
                <w:szCs w:val="21"/>
              </w:rPr>
              <w:t>深位</w:t>
            </w:r>
          </w:p>
        </w:tc>
      </w:tr>
      <w:tr w14:paraId="749E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865" w:type="dxa"/>
            <w:vAlign w:val="center"/>
          </w:tcPr>
          <w:p w14:paraId="5C07F50C">
            <w:pPr>
              <w:ind w:firstLine="1050" w:firstLineChars="500"/>
              <w:rPr>
                <w:color w:val="000000"/>
                <w:szCs w:val="21"/>
              </w:rPr>
            </w:pPr>
            <w:r>
              <w:rPr>
                <w:color w:val="000000"/>
                <w:szCs w:val="21"/>
              </w:rPr>
              <w:t>分值</w:t>
            </w:r>
          </w:p>
        </w:tc>
        <w:tc>
          <w:tcPr>
            <w:tcW w:w="1765" w:type="dxa"/>
            <w:vAlign w:val="center"/>
          </w:tcPr>
          <w:p w14:paraId="5501982A">
            <w:pPr>
              <w:ind w:firstLine="630" w:firstLineChars="300"/>
              <w:rPr>
                <w:color w:val="000000"/>
                <w:kern w:val="0"/>
                <w:szCs w:val="21"/>
              </w:rPr>
            </w:pPr>
            <w:r>
              <w:rPr>
                <w:color w:val="000000"/>
                <w:kern w:val="0"/>
                <w:szCs w:val="21"/>
              </w:rPr>
              <w:t>100</w:t>
            </w:r>
          </w:p>
        </w:tc>
        <w:tc>
          <w:tcPr>
            <w:tcW w:w="1663" w:type="dxa"/>
            <w:vAlign w:val="center"/>
          </w:tcPr>
          <w:p w14:paraId="35EA3C86">
            <w:pPr>
              <w:ind w:firstLine="630" w:firstLineChars="300"/>
              <w:rPr>
                <w:color w:val="000000"/>
                <w:szCs w:val="21"/>
              </w:rPr>
            </w:pPr>
            <w:r>
              <w:rPr>
                <w:color w:val="000000"/>
                <w:szCs w:val="21"/>
              </w:rPr>
              <w:t>90</w:t>
            </w:r>
          </w:p>
        </w:tc>
        <w:tc>
          <w:tcPr>
            <w:tcW w:w="2003" w:type="dxa"/>
            <w:vAlign w:val="center"/>
          </w:tcPr>
          <w:p w14:paraId="6FE6B75F">
            <w:pPr>
              <w:ind w:firstLine="735" w:firstLineChars="350"/>
              <w:rPr>
                <w:color w:val="000000"/>
                <w:szCs w:val="21"/>
              </w:rPr>
            </w:pPr>
            <w:r>
              <w:rPr>
                <w:color w:val="000000"/>
                <w:szCs w:val="21"/>
              </w:rPr>
              <w:t>70</w:t>
            </w:r>
          </w:p>
        </w:tc>
      </w:tr>
    </w:tbl>
    <w:p w14:paraId="7B757DE6">
      <w:pPr>
        <w:pStyle w:val="4"/>
        <w:widowControl w:val="0"/>
        <w:tabs>
          <w:tab w:val="left" w:pos="720"/>
        </w:tabs>
        <w:spacing w:before="120" w:after="120" w:line="500" w:lineRule="exact"/>
        <w:ind w:left="826" w:hanging="826"/>
        <w:jc w:val="both"/>
        <w:rPr>
          <w:rFonts w:ascii="宋体" w:hAnsi="宋体"/>
          <w:sz w:val="24"/>
          <w:szCs w:val="24"/>
        </w:rPr>
      </w:pPr>
      <w:bookmarkStart w:id="128" w:name="_Toc535399922"/>
      <w:bookmarkStart w:id="129" w:name="_Toc47384613"/>
      <w:bookmarkStart w:id="130" w:name="_Toc534833345"/>
      <w:r>
        <w:rPr>
          <w:rFonts w:hint="eastAsia" w:ascii="宋体" w:hAnsi="宋体"/>
          <w:sz w:val="24"/>
          <w:szCs w:val="24"/>
        </w:rPr>
        <w:t>3</w:t>
      </w:r>
      <w:r>
        <w:rPr>
          <w:rFonts w:ascii="宋体" w:hAnsi="宋体"/>
          <w:sz w:val="24"/>
          <w:szCs w:val="24"/>
        </w:rPr>
        <w:t>.3.8 农贸市场影响度</w:t>
      </w:r>
      <w:bookmarkEnd w:id="128"/>
      <w:bookmarkEnd w:id="129"/>
      <w:bookmarkEnd w:id="130"/>
    </w:p>
    <w:p w14:paraId="7B0BF8F1">
      <w:pPr>
        <w:spacing w:line="500" w:lineRule="exact"/>
        <w:ind w:firstLine="480" w:firstLineChars="200"/>
        <w:rPr>
          <w:sz w:val="24"/>
        </w:rPr>
      </w:pPr>
      <w:r>
        <w:rPr>
          <w:sz w:val="24"/>
        </w:rPr>
        <w:t>本次国有农用地定级共收集了鄂州市区内42农贸市场</w:t>
      </w:r>
      <w:r>
        <w:rPr>
          <w:rFonts w:hint="eastAsia"/>
          <w:sz w:val="24"/>
        </w:rPr>
        <w:t>。</w:t>
      </w:r>
      <w:r>
        <w:rPr>
          <w:sz w:val="24"/>
        </w:rPr>
        <w:t>根据农贸市场占地面积、摊位总数等资料最后选取了20个进行影响度分析</w:t>
      </w:r>
      <w:r>
        <w:rPr>
          <w:rFonts w:hint="eastAsia"/>
          <w:sz w:val="24"/>
        </w:rPr>
        <w:t>，</w:t>
      </w:r>
      <w:r>
        <w:rPr>
          <w:sz w:val="24"/>
        </w:rPr>
        <w:t>将20个农贸市场分为3级，</w:t>
      </w:r>
      <w:r>
        <w:rPr>
          <w:rFonts w:hint="eastAsia"/>
          <w:sz w:val="24"/>
        </w:rPr>
        <w:t>按照</w:t>
      </w:r>
      <w:r>
        <w:rPr>
          <w:sz w:val="24"/>
        </w:rPr>
        <w:t>各农贸市场的功能分采用几何平均法获取各级的平均功能分。然后按照公式</w:t>
      </w:r>
      <w:r>
        <w:rPr>
          <w:sz w:val="24"/>
        </w:rPr>
        <w:object>
          <v:shape id="_x0000_i1046" o:spt="75" type="#_x0000_t75" style="height:18.75pt;width:60.75pt;" o:ole="t" filled="f" o:preferrelative="t" stroked="f" coordsize="21600,21600">
            <v:path/>
            <v:fill on="f" focussize="0,0"/>
            <v:stroke on="f" joinstyle="miter"/>
            <v:imagedata r:id="rId53" o:title=""/>
            <o:lock v:ext="edit" aspectratio="t"/>
            <w10:wrap type="none"/>
            <w10:anchorlock/>
          </v:shape>
          <o:OLEObject Type="Embed" ProgID="Equation.3" ShapeID="_x0000_i1046" DrawAspect="Content" ObjectID="_1468075746" r:id="rId52">
            <o:LockedField>false</o:LockedField>
          </o:OLEObject>
        </w:object>
      </w:r>
      <w:r>
        <w:rPr>
          <w:sz w:val="24"/>
        </w:rPr>
        <w:t>计算各级农贸市场的作用半径</w:t>
      </w:r>
      <w:r>
        <w:rPr>
          <w:rFonts w:hint="eastAsia"/>
          <w:sz w:val="24"/>
        </w:rPr>
        <w:t>，</w:t>
      </w:r>
      <w:r>
        <w:rPr>
          <w:sz w:val="24"/>
        </w:rPr>
        <w:t>具体见表3-11。</w:t>
      </w:r>
    </w:p>
    <w:p w14:paraId="7EDE33E5">
      <w:pPr>
        <w:spacing w:before="156" w:beforeLines="50"/>
        <w:ind w:firstLine="422"/>
        <w:jc w:val="center"/>
        <w:rPr>
          <w:b/>
          <w:szCs w:val="21"/>
        </w:rPr>
      </w:pPr>
      <w:r>
        <w:rPr>
          <w:b/>
          <w:szCs w:val="21"/>
        </w:rPr>
        <w:t>表3-11主要农贸市场指标分析结果表</w:t>
      </w:r>
    </w:p>
    <w:tbl>
      <w:tblPr>
        <w:tblStyle w:val="3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85"/>
        <w:gridCol w:w="1197"/>
        <w:gridCol w:w="931"/>
        <w:gridCol w:w="665"/>
        <w:gridCol w:w="931"/>
        <w:gridCol w:w="800"/>
        <w:gridCol w:w="1112"/>
      </w:tblGrid>
      <w:tr w14:paraId="2E19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restart"/>
            <w:vAlign w:val="center"/>
          </w:tcPr>
          <w:p w14:paraId="33C26394">
            <w:pPr>
              <w:snapToGrid w:val="0"/>
              <w:jc w:val="center"/>
              <w:rPr>
                <w:b/>
                <w:color w:val="000000"/>
                <w:kern w:val="0"/>
                <w:szCs w:val="21"/>
              </w:rPr>
            </w:pPr>
            <w:r>
              <w:rPr>
                <w:b/>
                <w:color w:val="000000"/>
                <w:kern w:val="0"/>
                <w:szCs w:val="21"/>
              </w:rPr>
              <w:t>因子</w:t>
            </w:r>
          </w:p>
          <w:p w14:paraId="293CACDD">
            <w:pPr>
              <w:snapToGrid w:val="0"/>
              <w:jc w:val="center"/>
              <w:rPr>
                <w:b/>
                <w:color w:val="000000"/>
                <w:kern w:val="0"/>
                <w:szCs w:val="21"/>
              </w:rPr>
            </w:pPr>
            <w:r>
              <w:rPr>
                <w:b/>
                <w:color w:val="000000"/>
                <w:kern w:val="0"/>
                <w:szCs w:val="21"/>
              </w:rPr>
              <w:t>级别</w:t>
            </w:r>
          </w:p>
        </w:tc>
        <w:tc>
          <w:tcPr>
            <w:tcW w:w="1985" w:type="dxa"/>
            <w:vMerge w:val="restart"/>
            <w:vAlign w:val="center"/>
          </w:tcPr>
          <w:p w14:paraId="2E9DEE07">
            <w:pPr>
              <w:snapToGrid w:val="0"/>
              <w:jc w:val="center"/>
              <w:rPr>
                <w:b/>
                <w:color w:val="000000"/>
                <w:kern w:val="0"/>
                <w:szCs w:val="21"/>
              </w:rPr>
            </w:pPr>
            <w:r>
              <w:rPr>
                <w:b/>
                <w:color w:val="000000"/>
                <w:kern w:val="0"/>
                <w:szCs w:val="21"/>
              </w:rPr>
              <w:t>农贸市场</w:t>
            </w:r>
          </w:p>
          <w:p w14:paraId="24D39088">
            <w:pPr>
              <w:snapToGrid w:val="0"/>
              <w:jc w:val="center"/>
              <w:rPr>
                <w:b/>
                <w:color w:val="000000"/>
                <w:kern w:val="0"/>
                <w:szCs w:val="21"/>
              </w:rPr>
            </w:pPr>
            <w:r>
              <w:rPr>
                <w:b/>
                <w:color w:val="000000"/>
                <w:kern w:val="0"/>
                <w:szCs w:val="21"/>
              </w:rPr>
              <w:t>名称</w:t>
            </w:r>
          </w:p>
        </w:tc>
        <w:tc>
          <w:tcPr>
            <w:tcW w:w="2128" w:type="dxa"/>
            <w:gridSpan w:val="2"/>
          </w:tcPr>
          <w:p w14:paraId="23B00C3C">
            <w:pPr>
              <w:snapToGrid w:val="0"/>
              <w:jc w:val="center"/>
              <w:rPr>
                <w:b/>
                <w:color w:val="000000"/>
                <w:kern w:val="0"/>
                <w:szCs w:val="21"/>
              </w:rPr>
            </w:pPr>
            <w:r>
              <w:rPr>
                <w:b/>
                <w:color w:val="000000"/>
                <w:kern w:val="0"/>
                <w:szCs w:val="21"/>
              </w:rPr>
              <w:t>衡量影响指标及权重</w:t>
            </w:r>
          </w:p>
        </w:tc>
        <w:tc>
          <w:tcPr>
            <w:tcW w:w="665" w:type="dxa"/>
            <w:vMerge w:val="restart"/>
            <w:vAlign w:val="center"/>
          </w:tcPr>
          <w:p w14:paraId="10E6F5AB">
            <w:pPr>
              <w:snapToGrid w:val="0"/>
              <w:jc w:val="center"/>
              <w:rPr>
                <w:b/>
                <w:color w:val="000000"/>
                <w:kern w:val="0"/>
                <w:szCs w:val="21"/>
              </w:rPr>
            </w:pPr>
            <w:r>
              <w:rPr>
                <w:b/>
                <w:color w:val="000000"/>
                <w:kern w:val="0"/>
                <w:szCs w:val="21"/>
              </w:rPr>
              <w:t>综合作用指数</w:t>
            </w:r>
          </w:p>
        </w:tc>
        <w:tc>
          <w:tcPr>
            <w:tcW w:w="931" w:type="dxa"/>
            <w:vMerge w:val="restart"/>
            <w:vAlign w:val="center"/>
          </w:tcPr>
          <w:p w14:paraId="442387EB">
            <w:pPr>
              <w:snapToGrid w:val="0"/>
              <w:jc w:val="center"/>
              <w:rPr>
                <w:b/>
                <w:color w:val="000000"/>
                <w:kern w:val="0"/>
                <w:szCs w:val="21"/>
              </w:rPr>
            </w:pPr>
            <w:r>
              <w:rPr>
                <w:b/>
                <w:color w:val="000000"/>
                <w:kern w:val="0"/>
                <w:szCs w:val="21"/>
              </w:rPr>
              <w:t>标准化</w:t>
            </w:r>
          </w:p>
        </w:tc>
        <w:tc>
          <w:tcPr>
            <w:tcW w:w="800" w:type="dxa"/>
            <w:vMerge w:val="restart"/>
            <w:vAlign w:val="center"/>
          </w:tcPr>
          <w:p w14:paraId="406E250F">
            <w:pPr>
              <w:snapToGrid w:val="0"/>
              <w:jc w:val="center"/>
              <w:rPr>
                <w:b/>
                <w:color w:val="000000"/>
                <w:kern w:val="0"/>
                <w:szCs w:val="21"/>
              </w:rPr>
            </w:pPr>
            <w:r>
              <w:rPr>
                <w:b/>
                <w:color w:val="000000"/>
                <w:kern w:val="0"/>
                <w:szCs w:val="21"/>
              </w:rPr>
              <w:t>功能分</w:t>
            </w:r>
          </w:p>
        </w:tc>
        <w:tc>
          <w:tcPr>
            <w:tcW w:w="1112" w:type="dxa"/>
            <w:vMerge w:val="restart"/>
            <w:vAlign w:val="center"/>
          </w:tcPr>
          <w:p w14:paraId="1C52C79B">
            <w:pPr>
              <w:snapToGrid w:val="0"/>
              <w:jc w:val="center"/>
              <w:rPr>
                <w:b/>
                <w:color w:val="000000"/>
                <w:kern w:val="0"/>
                <w:szCs w:val="21"/>
              </w:rPr>
            </w:pPr>
            <w:r>
              <w:rPr>
                <w:b/>
                <w:color w:val="000000"/>
                <w:kern w:val="0"/>
                <w:szCs w:val="21"/>
              </w:rPr>
              <w:t>作用半径（m）</w:t>
            </w:r>
          </w:p>
        </w:tc>
      </w:tr>
      <w:tr w14:paraId="1A84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738841ED">
            <w:pPr>
              <w:snapToGrid w:val="0"/>
              <w:jc w:val="center"/>
              <w:rPr>
                <w:color w:val="000000"/>
                <w:kern w:val="0"/>
                <w:szCs w:val="21"/>
              </w:rPr>
            </w:pPr>
          </w:p>
        </w:tc>
        <w:tc>
          <w:tcPr>
            <w:tcW w:w="1985" w:type="dxa"/>
            <w:vMerge w:val="continue"/>
            <w:vAlign w:val="center"/>
          </w:tcPr>
          <w:p w14:paraId="56440541">
            <w:pPr>
              <w:snapToGrid w:val="0"/>
              <w:jc w:val="center"/>
              <w:rPr>
                <w:color w:val="000000"/>
                <w:kern w:val="0"/>
                <w:szCs w:val="21"/>
              </w:rPr>
            </w:pPr>
          </w:p>
        </w:tc>
        <w:tc>
          <w:tcPr>
            <w:tcW w:w="1197" w:type="dxa"/>
            <w:vAlign w:val="center"/>
          </w:tcPr>
          <w:p w14:paraId="7CB11E1C">
            <w:pPr>
              <w:snapToGrid w:val="0"/>
              <w:jc w:val="center"/>
              <w:rPr>
                <w:b/>
                <w:color w:val="000000"/>
                <w:kern w:val="0"/>
                <w:szCs w:val="21"/>
              </w:rPr>
            </w:pPr>
            <w:r>
              <w:rPr>
                <w:b/>
                <w:color w:val="000000"/>
                <w:kern w:val="0"/>
                <w:szCs w:val="21"/>
              </w:rPr>
              <w:t>0.5</w:t>
            </w:r>
          </w:p>
        </w:tc>
        <w:tc>
          <w:tcPr>
            <w:tcW w:w="931" w:type="dxa"/>
            <w:vAlign w:val="center"/>
          </w:tcPr>
          <w:p w14:paraId="5229923D">
            <w:pPr>
              <w:snapToGrid w:val="0"/>
              <w:jc w:val="center"/>
              <w:rPr>
                <w:b/>
                <w:color w:val="000000"/>
                <w:kern w:val="0"/>
                <w:szCs w:val="21"/>
              </w:rPr>
            </w:pPr>
            <w:r>
              <w:rPr>
                <w:b/>
                <w:color w:val="000000"/>
                <w:kern w:val="0"/>
                <w:szCs w:val="21"/>
              </w:rPr>
              <w:t>0.5</w:t>
            </w:r>
          </w:p>
        </w:tc>
        <w:tc>
          <w:tcPr>
            <w:tcW w:w="665" w:type="dxa"/>
            <w:vMerge w:val="continue"/>
            <w:vAlign w:val="center"/>
          </w:tcPr>
          <w:p w14:paraId="5542FF7E">
            <w:pPr>
              <w:snapToGrid w:val="0"/>
              <w:jc w:val="center"/>
              <w:rPr>
                <w:color w:val="000000"/>
                <w:kern w:val="0"/>
                <w:szCs w:val="21"/>
              </w:rPr>
            </w:pPr>
          </w:p>
        </w:tc>
        <w:tc>
          <w:tcPr>
            <w:tcW w:w="931" w:type="dxa"/>
            <w:vMerge w:val="continue"/>
            <w:vAlign w:val="center"/>
          </w:tcPr>
          <w:p w14:paraId="15DF2A59">
            <w:pPr>
              <w:snapToGrid w:val="0"/>
              <w:jc w:val="center"/>
              <w:rPr>
                <w:color w:val="000000"/>
                <w:kern w:val="0"/>
                <w:szCs w:val="21"/>
              </w:rPr>
            </w:pPr>
          </w:p>
        </w:tc>
        <w:tc>
          <w:tcPr>
            <w:tcW w:w="800" w:type="dxa"/>
            <w:vMerge w:val="continue"/>
            <w:vAlign w:val="center"/>
          </w:tcPr>
          <w:p w14:paraId="6813C528">
            <w:pPr>
              <w:snapToGrid w:val="0"/>
              <w:jc w:val="center"/>
              <w:rPr>
                <w:color w:val="000000"/>
                <w:kern w:val="0"/>
                <w:szCs w:val="21"/>
              </w:rPr>
            </w:pPr>
          </w:p>
        </w:tc>
        <w:tc>
          <w:tcPr>
            <w:tcW w:w="1112" w:type="dxa"/>
            <w:vMerge w:val="continue"/>
            <w:vAlign w:val="center"/>
          </w:tcPr>
          <w:p w14:paraId="24F5A328">
            <w:pPr>
              <w:snapToGrid w:val="0"/>
              <w:jc w:val="center"/>
              <w:rPr>
                <w:color w:val="000000"/>
                <w:kern w:val="0"/>
                <w:szCs w:val="21"/>
              </w:rPr>
            </w:pPr>
          </w:p>
        </w:tc>
      </w:tr>
      <w:tr w14:paraId="581B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0E1CD45A">
            <w:pPr>
              <w:snapToGrid w:val="0"/>
              <w:jc w:val="center"/>
              <w:rPr>
                <w:color w:val="000000"/>
                <w:kern w:val="0"/>
                <w:szCs w:val="21"/>
              </w:rPr>
            </w:pPr>
          </w:p>
        </w:tc>
        <w:tc>
          <w:tcPr>
            <w:tcW w:w="1985" w:type="dxa"/>
            <w:vMerge w:val="continue"/>
            <w:vAlign w:val="center"/>
          </w:tcPr>
          <w:p w14:paraId="23065F3D">
            <w:pPr>
              <w:snapToGrid w:val="0"/>
              <w:jc w:val="center"/>
              <w:rPr>
                <w:color w:val="000000"/>
                <w:kern w:val="0"/>
                <w:szCs w:val="21"/>
              </w:rPr>
            </w:pPr>
          </w:p>
        </w:tc>
        <w:tc>
          <w:tcPr>
            <w:tcW w:w="1197" w:type="dxa"/>
            <w:vAlign w:val="center"/>
          </w:tcPr>
          <w:p w14:paraId="5BED23F9">
            <w:pPr>
              <w:snapToGrid w:val="0"/>
              <w:jc w:val="center"/>
              <w:rPr>
                <w:b/>
                <w:color w:val="000000"/>
                <w:kern w:val="0"/>
                <w:szCs w:val="21"/>
              </w:rPr>
            </w:pPr>
            <w:r>
              <w:rPr>
                <w:b/>
                <w:color w:val="000000"/>
                <w:kern w:val="0"/>
                <w:szCs w:val="21"/>
              </w:rPr>
              <w:t>占地面积（㎡）</w:t>
            </w:r>
          </w:p>
        </w:tc>
        <w:tc>
          <w:tcPr>
            <w:tcW w:w="931" w:type="dxa"/>
            <w:vAlign w:val="center"/>
          </w:tcPr>
          <w:p w14:paraId="11B15C8D">
            <w:pPr>
              <w:snapToGrid w:val="0"/>
              <w:jc w:val="center"/>
              <w:rPr>
                <w:b/>
                <w:color w:val="000000"/>
                <w:kern w:val="0"/>
                <w:szCs w:val="21"/>
              </w:rPr>
            </w:pPr>
            <w:r>
              <w:rPr>
                <w:b/>
                <w:color w:val="000000"/>
                <w:kern w:val="0"/>
                <w:szCs w:val="21"/>
              </w:rPr>
              <w:t>摊位总数</w:t>
            </w:r>
          </w:p>
        </w:tc>
        <w:tc>
          <w:tcPr>
            <w:tcW w:w="665" w:type="dxa"/>
            <w:vMerge w:val="continue"/>
            <w:vAlign w:val="center"/>
          </w:tcPr>
          <w:p w14:paraId="17FBF874">
            <w:pPr>
              <w:snapToGrid w:val="0"/>
              <w:jc w:val="center"/>
              <w:rPr>
                <w:color w:val="000000"/>
                <w:kern w:val="0"/>
                <w:szCs w:val="21"/>
              </w:rPr>
            </w:pPr>
          </w:p>
        </w:tc>
        <w:tc>
          <w:tcPr>
            <w:tcW w:w="931" w:type="dxa"/>
            <w:vMerge w:val="continue"/>
            <w:vAlign w:val="center"/>
          </w:tcPr>
          <w:p w14:paraId="7506040C">
            <w:pPr>
              <w:snapToGrid w:val="0"/>
              <w:jc w:val="center"/>
              <w:rPr>
                <w:color w:val="000000"/>
                <w:kern w:val="0"/>
                <w:szCs w:val="21"/>
              </w:rPr>
            </w:pPr>
          </w:p>
        </w:tc>
        <w:tc>
          <w:tcPr>
            <w:tcW w:w="800" w:type="dxa"/>
            <w:vMerge w:val="continue"/>
            <w:vAlign w:val="center"/>
          </w:tcPr>
          <w:p w14:paraId="50F8A669">
            <w:pPr>
              <w:snapToGrid w:val="0"/>
              <w:jc w:val="center"/>
              <w:rPr>
                <w:color w:val="000000"/>
                <w:kern w:val="0"/>
                <w:szCs w:val="21"/>
              </w:rPr>
            </w:pPr>
          </w:p>
        </w:tc>
        <w:tc>
          <w:tcPr>
            <w:tcW w:w="1112" w:type="dxa"/>
            <w:vMerge w:val="continue"/>
            <w:vAlign w:val="center"/>
          </w:tcPr>
          <w:p w14:paraId="7EBED5AC">
            <w:pPr>
              <w:snapToGrid w:val="0"/>
              <w:jc w:val="center"/>
              <w:rPr>
                <w:color w:val="000000"/>
                <w:kern w:val="0"/>
                <w:szCs w:val="21"/>
              </w:rPr>
            </w:pPr>
          </w:p>
        </w:tc>
      </w:tr>
      <w:tr w14:paraId="1AA9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restart"/>
            <w:vAlign w:val="center"/>
          </w:tcPr>
          <w:p w14:paraId="3424964F">
            <w:pPr>
              <w:snapToGrid w:val="0"/>
              <w:jc w:val="center"/>
              <w:rPr>
                <w:color w:val="000000"/>
                <w:kern w:val="0"/>
                <w:szCs w:val="21"/>
              </w:rPr>
            </w:pPr>
            <w:r>
              <w:rPr>
                <w:color w:val="000000"/>
                <w:kern w:val="0"/>
                <w:szCs w:val="21"/>
              </w:rPr>
              <w:t>1</w:t>
            </w:r>
          </w:p>
        </w:tc>
        <w:tc>
          <w:tcPr>
            <w:tcW w:w="1985" w:type="dxa"/>
            <w:vAlign w:val="center"/>
          </w:tcPr>
          <w:p w14:paraId="284BE6BC">
            <w:pPr>
              <w:snapToGrid w:val="0"/>
              <w:jc w:val="center"/>
              <w:rPr>
                <w:color w:val="000000"/>
                <w:kern w:val="0"/>
                <w:szCs w:val="21"/>
              </w:rPr>
            </w:pPr>
            <w:r>
              <w:rPr>
                <w:color w:val="000000"/>
                <w:szCs w:val="21"/>
              </w:rPr>
              <w:t>蟠龙农产品批发市场</w:t>
            </w:r>
          </w:p>
        </w:tc>
        <w:tc>
          <w:tcPr>
            <w:tcW w:w="1197" w:type="dxa"/>
            <w:vAlign w:val="center"/>
          </w:tcPr>
          <w:p w14:paraId="2F8FE50B">
            <w:pPr>
              <w:snapToGrid w:val="0"/>
              <w:jc w:val="center"/>
              <w:rPr>
                <w:color w:val="000000"/>
                <w:szCs w:val="21"/>
              </w:rPr>
            </w:pPr>
            <w:r>
              <w:rPr>
                <w:color w:val="000000"/>
                <w:szCs w:val="21"/>
              </w:rPr>
              <w:t>4300</w:t>
            </w:r>
          </w:p>
        </w:tc>
        <w:tc>
          <w:tcPr>
            <w:tcW w:w="931" w:type="dxa"/>
            <w:vAlign w:val="center"/>
          </w:tcPr>
          <w:p w14:paraId="569306C3">
            <w:pPr>
              <w:snapToGrid w:val="0"/>
              <w:jc w:val="center"/>
              <w:rPr>
                <w:color w:val="000000"/>
                <w:kern w:val="0"/>
                <w:szCs w:val="21"/>
              </w:rPr>
            </w:pPr>
            <w:r>
              <w:rPr>
                <w:color w:val="000000"/>
                <w:szCs w:val="21"/>
              </w:rPr>
              <w:t>382</w:t>
            </w:r>
          </w:p>
        </w:tc>
        <w:tc>
          <w:tcPr>
            <w:tcW w:w="665" w:type="dxa"/>
            <w:vAlign w:val="center"/>
          </w:tcPr>
          <w:p w14:paraId="344CE0C7">
            <w:pPr>
              <w:snapToGrid w:val="0"/>
              <w:jc w:val="center"/>
              <w:rPr>
                <w:color w:val="000000"/>
                <w:kern w:val="0"/>
                <w:szCs w:val="21"/>
              </w:rPr>
            </w:pPr>
            <w:r>
              <w:rPr>
                <w:color w:val="000000"/>
                <w:szCs w:val="21"/>
              </w:rPr>
              <w:t>1.81</w:t>
            </w:r>
          </w:p>
        </w:tc>
        <w:tc>
          <w:tcPr>
            <w:tcW w:w="931" w:type="dxa"/>
            <w:vAlign w:val="center"/>
          </w:tcPr>
          <w:p w14:paraId="4CCDBCC6">
            <w:pPr>
              <w:snapToGrid w:val="0"/>
              <w:jc w:val="center"/>
              <w:rPr>
                <w:color w:val="000000"/>
                <w:kern w:val="0"/>
                <w:szCs w:val="21"/>
              </w:rPr>
            </w:pPr>
            <w:r>
              <w:rPr>
                <w:color w:val="000000"/>
                <w:szCs w:val="21"/>
              </w:rPr>
              <w:t>100</w:t>
            </w:r>
          </w:p>
        </w:tc>
        <w:tc>
          <w:tcPr>
            <w:tcW w:w="800" w:type="dxa"/>
            <w:vMerge w:val="restart"/>
            <w:vAlign w:val="center"/>
          </w:tcPr>
          <w:p w14:paraId="7BFED1FC">
            <w:pPr>
              <w:snapToGrid w:val="0"/>
              <w:jc w:val="center"/>
              <w:rPr>
                <w:color w:val="000000"/>
                <w:kern w:val="0"/>
                <w:szCs w:val="21"/>
              </w:rPr>
            </w:pPr>
            <w:r>
              <w:rPr>
                <w:color w:val="000000"/>
                <w:kern w:val="0"/>
                <w:szCs w:val="21"/>
              </w:rPr>
              <w:t>100</w:t>
            </w:r>
          </w:p>
        </w:tc>
        <w:tc>
          <w:tcPr>
            <w:tcW w:w="1112" w:type="dxa"/>
            <w:vMerge w:val="restart"/>
            <w:vAlign w:val="center"/>
          </w:tcPr>
          <w:p w14:paraId="2023598F">
            <w:pPr>
              <w:snapToGrid w:val="0"/>
              <w:jc w:val="center"/>
              <w:rPr>
                <w:color w:val="000000"/>
                <w:kern w:val="0"/>
                <w:szCs w:val="21"/>
              </w:rPr>
            </w:pPr>
            <w:r>
              <w:rPr>
                <w:color w:val="000000"/>
                <w:kern w:val="0"/>
                <w:szCs w:val="21"/>
              </w:rPr>
              <w:t>2180</w:t>
            </w:r>
          </w:p>
        </w:tc>
      </w:tr>
      <w:tr w14:paraId="11C1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53D2CEBA">
            <w:pPr>
              <w:snapToGrid w:val="0"/>
              <w:jc w:val="center"/>
              <w:rPr>
                <w:color w:val="000000"/>
                <w:kern w:val="0"/>
                <w:szCs w:val="21"/>
              </w:rPr>
            </w:pPr>
          </w:p>
        </w:tc>
        <w:tc>
          <w:tcPr>
            <w:tcW w:w="1985" w:type="dxa"/>
            <w:vAlign w:val="center"/>
          </w:tcPr>
          <w:p w14:paraId="30BE3A6A">
            <w:pPr>
              <w:snapToGrid w:val="0"/>
              <w:jc w:val="center"/>
              <w:rPr>
                <w:color w:val="000000"/>
                <w:szCs w:val="21"/>
              </w:rPr>
            </w:pPr>
            <w:r>
              <w:rPr>
                <w:color w:val="000000"/>
                <w:szCs w:val="21"/>
              </w:rPr>
              <w:t>明堂市场</w:t>
            </w:r>
          </w:p>
        </w:tc>
        <w:tc>
          <w:tcPr>
            <w:tcW w:w="1197" w:type="dxa"/>
            <w:vAlign w:val="center"/>
          </w:tcPr>
          <w:p w14:paraId="4E161F5C">
            <w:pPr>
              <w:snapToGrid w:val="0"/>
              <w:jc w:val="center"/>
              <w:rPr>
                <w:color w:val="000000"/>
                <w:szCs w:val="21"/>
              </w:rPr>
            </w:pPr>
            <w:r>
              <w:rPr>
                <w:color w:val="000000"/>
                <w:szCs w:val="21"/>
              </w:rPr>
              <w:t>21000</w:t>
            </w:r>
          </w:p>
        </w:tc>
        <w:tc>
          <w:tcPr>
            <w:tcW w:w="931" w:type="dxa"/>
            <w:vAlign w:val="center"/>
          </w:tcPr>
          <w:p w14:paraId="5521D4FC">
            <w:pPr>
              <w:snapToGrid w:val="0"/>
              <w:jc w:val="center"/>
              <w:rPr>
                <w:color w:val="000000"/>
                <w:szCs w:val="21"/>
              </w:rPr>
            </w:pPr>
            <w:r>
              <w:rPr>
                <w:color w:val="000000"/>
                <w:szCs w:val="21"/>
              </w:rPr>
              <w:t>95</w:t>
            </w:r>
          </w:p>
        </w:tc>
        <w:tc>
          <w:tcPr>
            <w:tcW w:w="665" w:type="dxa"/>
            <w:vAlign w:val="center"/>
          </w:tcPr>
          <w:p w14:paraId="37C2B02F">
            <w:pPr>
              <w:snapToGrid w:val="0"/>
              <w:jc w:val="center"/>
              <w:rPr>
                <w:color w:val="000000"/>
                <w:szCs w:val="21"/>
              </w:rPr>
            </w:pPr>
            <w:r>
              <w:rPr>
                <w:color w:val="000000"/>
                <w:szCs w:val="21"/>
              </w:rPr>
              <w:t>0.90</w:t>
            </w:r>
          </w:p>
        </w:tc>
        <w:tc>
          <w:tcPr>
            <w:tcW w:w="931" w:type="dxa"/>
            <w:vAlign w:val="center"/>
          </w:tcPr>
          <w:p w14:paraId="0213AF5D">
            <w:pPr>
              <w:snapToGrid w:val="0"/>
              <w:jc w:val="center"/>
              <w:rPr>
                <w:color w:val="000000"/>
                <w:szCs w:val="21"/>
              </w:rPr>
            </w:pPr>
            <w:r>
              <w:rPr>
                <w:color w:val="000000"/>
                <w:szCs w:val="21"/>
              </w:rPr>
              <w:t>49</w:t>
            </w:r>
          </w:p>
        </w:tc>
        <w:tc>
          <w:tcPr>
            <w:tcW w:w="800" w:type="dxa"/>
            <w:vMerge w:val="continue"/>
            <w:vAlign w:val="center"/>
          </w:tcPr>
          <w:p w14:paraId="5CCD222C">
            <w:pPr>
              <w:snapToGrid w:val="0"/>
              <w:jc w:val="center"/>
              <w:rPr>
                <w:color w:val="000000"/>
                <w:kern w:val="0"/>
                <w:szCs w:val="21"/>
              </w:rPr>
            </w:pPr>
          </w:p>
        </w:tc>
        <w:tc>
          <w:tcPr>
            <w:tcW w:w="1112" w:type="dxa"/>
            <w:vMerge w:val="continue"/>
            <w:vAlign w:val="center"/>
          </w:tcPr>
          <w:p w14:paraId="11AC6FF9">
            <w:pPr>
              <w:snapToGrid w:val="0"/>
              <w:jc w:val="center"/>
              <w:rPr>
                <w:color w:val="000000"/>
                <w:kern w:val="0"/>
                <w:szCs w:val="21"/>
              </w:rPr>
            </w:pPr>
          </w:p>
        </w:tc>
      </w:tr>
      <w:tr w14:paraId="40CB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0EB435C5">
            <w:pPr>
              <w:snapToGrid w:val="0"/>
              <w:jc w:val="center"/>
              <w:rPr>
                <w:color w:val="000000"/>
                <w:kern w:val="0"/>
                <w:szCs w:val="21"/>
              </w:rPr>
            </w:pPr>
          </w:p>
        </w:tc>
        <w:tc>
          <w:tcPr>
            <w:tcW w:w="1985" w:type="dxa"/>
            <w:vAlign w:val="center"/>
          </w:tcPr>
          <w:p w14:paraId="46CFE52B">
            <w:pPr>
              <w:snapToGrid w:val="0"/>
              <w:jc w:val="center"/>
              <w:rPr>
                <w:color w:val="000000"/>
                <w:szCs w:val="21"/>
              </w:rPr>
            </w:pPr>
            <w:r>
              <w:rPr>
                <w:color w:val="000000"/>
                <w:szCs w:val="21"/>
              </w:rPr>
              <w:t>官柳农贸市场</w:t>
            </w:r>
          </w:p>
        </w:tc>
        <w:tc>
          <w:tcPr>
            <w:tcW w:w="1197" w:type="dxa"/>
            <w:vAlign w:val="center"/>
          </w:tcPr>
          <w:p w14:paraId="7EB702D7">
            <w:pPr>
              <w:snapToGrid w:val="0"/>
              <w:jc w:val="center"/>
              <w:rPr>
                <w:color w:val="000000"/>
                <w:szCs w:val="21"/>
              </w:rPr>
            </w:pPr>
            <w:r>
              <w:rPr>
                <w:color w:val="000000"/>
                <w:szCs w:val="21"/>
              </w:rPr>
              <w:t>3900</w:t>
            </w:r>
          </w:p>
        </w:tc>
        <w:tc>
          <w:tcPr>
            <w:tcW w:w="931" w:type="dxa"/>
            <w:vAlign w:val="center"/>
          </w:tcPr>
          <w:p w14:paraId="601F2E3A">
            <w:pPr>
              <w:snapToGrid w:val="0"/>
              <w:jc w:val="center"/>
              <w:rPr>
                <w:color w:val="000000"/>
                <w:szCs w:val="21"/>
              </w:rPr>
            </w:pPr>
            <w:r>
              <w:rPr>
                <w:color w:val="000000"/>
                <w:szCs w:val="21"/>
              </w:rPr>
              <w:t>100</w:t>
            </w:r>
          </w:p>
        </w:tc>
        <w:tc>
          <w:tcPr>
            <w:tcW w:w="665" w:type="dxa"/>
            <w:vAlign w:val="center"/>
          </w:tcPr>
          <w:p w14:paraId="7A3BFC48">
            <w:pPr>
              <w:snapToGrid w:val="0"/>
              <w:jc w:val="center"/>
              <w:rPr>
                <w:color w:val="000000"/>
                <w:szCs w:val="21"/>
              </w:rPr>
            </w:pPr>
            <w:r>
              <w:rPr>
                <w:color w:val="000000"/>
                <w:szCs w:val="21"/>
              </w:rPr>
              <w:t>0.63</w:t>
            </w:r>
          </w:p>
        </w:tc>
        <w:tc>
          <w:tcPr>
            <w:tcW w:w="931" w:type="dxa"/>
            <w:vAlign w:val="center"/>
          </w:tcPr>
          <w:p w14:paraId="42146352">
            <w:pPr>
              <w:snapToGrid w:val="0"/>
              <w:jc w:val="center"/>
              <w:rPr>
                <w:color w:val="000000"/>
                <w:szCs w:val="21"/>
              </w:rPr>
            </w:pPr>
            <w:r>
              <w:rPr>
                <w:color w:val="000000"/>
                <w:szCs w:val="21"/>
              </w:rPr>
              <w:t>35</w:t>
            </w:r>
          </w:p>
        </w:tc>
        <w:tc>
          <w:tcPr>
            <w:tcW w:w="800" w:type="dxa"/>
            <w:vMerge w:val="continue"/>
            <w:vAlign w:val="center"/>
          </w:tcPr>
          <w:p w14:paraId="4941EF4A">
            <w:pPr>
              <w:snapToGrid w:val="0"/>
              <w:jc w:val="center"/>
              <w:rPr>
                <w:color w:val="000000"/>
                <w:kern w:val="0"/>
                <w:szCs w:val="21"/>
              </w:rPr>
            </w:pPr>
          </w:p>
        </w:tc>
        <w:tc>
          <w:tcPr>
            <w:tcW w:w="1112" w:type="dxa"/>
            <w:vMerge w:val="continue"/>
            <w:vAlign w:val="center"/>
          </w:tcPr>
          <w:p w14:paraId="447F6767">
            <w:pPr>
              <w:snapToGrid w:val="0"/>
              <w:jc w:val="center"/>
              <w:rPr>
                <w:color w:val="000000"/>
                <w:kern w:val="0"/>
                <w:szCs w:val="21"/>
              </w:rPr>
            </w:pPr>
          </w:p>
        </w:tc>
      </w:tr>
      <w:tr w14:paraId="6B64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restart"/>
            <w:vAlign w:val="center"/>
          </w:tcPr>
          <w:p w14:paraId="46663921">
            <w:pPr>
              <w:snapToGrid w:val="0"/>
              <w:jc w:val="center"/>
              <w:rPr>
                <w:color w:val="000000"/>
                <w:kern w:val="0"/>
                <w:szCs w:val="21"/>
              </w:rPr>
            </w:pPr>
            <w:r>
              <w:rPr>
                <w:color w:val="000000"/>
                <w:kern w:val="0"/>
                <w:szCs w:val="21"/>
              </w:rPr>
              <w:t>2</w:t>
            </w:r>
          </w:p>
        </w:tc>
        <w:tc>
          <w:tcPr>
            <w:tcW w:w="1985" w:type="dxa"/>
            <w:vAlign w:val="center"/>
          </w:tcPr>
          <w:p w14:paraId="094A7A4B">
            <w:pPr>
              <w:snapToGrid w:val="0"/>
              <w:jc w:val="center"/>
              <w:rPr>
                <w:color w:val="000000"/>
                <w:szCs w:val="21"/>
              </w:rPr>
            </w:pPr>
            <w:r>
              <w:rPr>
                <w:color w:val="000000"/>
                <w:szCs w:val="21"/>
              </w:rPr>
              <w:t>泽林环球市场</w:t>
            </w:r>
          </w:p>
        </w:tc>
        <w:tc>
          <w:tcPr>
            <w:tcW w:w="1197" w:type="dxa"/>
            <w:vAlign w:val="center"/>
          </w:tcPr>
          <w:p w14:paraId="30494BAF">
            <w:pPr>
              <w:snapToGrid w:val="0"/>
              <w:jc w:val="center"/>
              <w:rPr>
                <w:color w:val="000000"/>
                <w:szCs w:val="21"/>
              </w:rPr>
            </w:pPr>
            <w:r>
              <w:rPr>
                <w:color w:val="000000"/>
                <w:szCs w:val="21"/>
              </w:rPr>
              <w:t>800</w:t>
            </w:r>
          </w:p>
        </w:tc>
        <w:tc>
          <w:tcPr>
            <w:tcW w:w="931" w:type="dxa"/>
            <w:vAlign w:val="center"/>
          </w:tcPr>
          <w:p w14:paraId="18FEC8CA">
            <w:pPr>
              <w:snapToGrid w:val="0"/>
              <w:jc w:val="center"/>
              <w:rPr>
                <w:color w:val="000000"/>
                <w:szCs w:val="21"/>
              </w:rPr>
            </w:pPr>
            <w:r>
              <w:rPr>
                <w:color w:val="000000"/>
                <w:szCs w:val="21"/>
              </w:rPr>
              <w:t>120</w:t>
            </w:r>
          </w:p>
        </w:tc>
        <w:tc>
          <w:tcPr>
            <w:tcW w:w="665" w:type="dxa"/>
            <w:vAlign w:val="center"/>
          </w:tcPr>
          <w:p w14:paraId="615C7A9B">
            <w:pPr>
              <w:snapToGrid w:val="0"/>
              <w:jc w:val="center"/>
              <w:rPr>
                <w:color w:val="000000"/>
                <w:szCs w:val="21"/>
              </w:rPr>
            </w:pPr>
            <w:r>
              <w:rPr>
                <w:color w:val="000000"/>
                <w:szCs w:val="21"/>
              </w:rPr>
              <w:t>0.62</w:t>
            </w:r>
          </w:p>
        </w:tc>
        <w:tc>
          <w:tcPr>
            <w:tcW w:w="931" w:type="dxa"/>
            <w:vAlign w:val="center"/>
          </w:tcPr>
          <w:p w14:paraId="3F1CE7AE">
            <w:pPr>
              <w:snapToGrid w:val="0"/>
              <w:jc w:val="center"/>
              <w:rPr>
                <w:color w:val="000000"/>
                <w:szCs w:val="21"/>
              </w:rPr>
            </w:pPr>
            <w:r>
              <w:rPr>
                <w:color w:val="000000"/>
                <w:szCs w:val="21"/>
              </w:rPr>
              <w:t>34</w:t>
            </w:r>
          </w:p>
        </w:tc>
        <w:tc>
          <w:tcPr>
            <w:tcW w:w="800" w:type="dxa"/>
            <w:vMerge w:val="restart"/>
            <w:vAlign w:val="center"/>
          </w:tcPr>
          <w:p w14:paraId="073A5094">
            <w:pPr>
              <w:snapToGrid w:val="0"/>
              <w:jc w:val="center"/>
              <w:rPr>
                <w:color w:val="000000"/>
                <w:kern w:val="0"/>
                <w:szCs w:val="21"/>
              </w:rPr>
            </w:pPr>
            <w:r>
              <w:rPr>
                <w:color w:val="000000"/>
                <w:kern w:val="0"/>
                <w:szCs w:val="21"/>
              </w:rPr>
              <w:t>74</w:t>
            </w:r>
          </w:p>
        </w:tc>
        <w:tc>
          <w:tcPr>
            <w:tcW w:w="1112" w:type="dxa"/>
            <w:vMerge w:val="restart"/>
            <w:vAlign w:val="center"/>
          </w:tcPr>
          <w:p w14:paraId="47724834">
            <w:pPr>
              <w:snapToGrid w:val="0"/>
              <w:jc w:val="center"/>
              <w:rPr>
                <w:color w:val="000000"/>
                <w:kern w:val="0"/>
                <w:szCs w:val="21"/>
              </w:rPr>
            </w:pPr>
            <w:r>
              <w:rPr>
                <w:color w:val="000000"/>
                <w:kern w:val="0"/>
                <w:szCs w:val="21"/>
              </w:rPr>
              <w:t>1442</w:t>
            </w:r>
          </w:p>
        </w:tc>
      </w:tr>
      <w:tr w14:paraId="3AAA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6A779EEE">
            <w:pPr>
              <w:snapToGrid w:val="0"/>
              <w:jc w:val="center"/>
              <w:rPr>
                <w:color w:val="000000"/>
                <w:kern w:val="0"/>
                <w:szCs w:val="21"/>
              </w:rPr>
            </w:pPr>
          </w:p>
        </w:tc>
        <w:tc>
          <w:tcPr>
            <w:tcW w:w="1985" w:type="dxa"/>
            <w:vAlign w:val="center"/>
          </w:tcPr>
          <w:p w14:paraId="22BCD482">
            <w:pPr>
              <w:snapToGrid w:val="0"/>
              <w:jc w:val="center"/>
              <w:rPr>
                <w:color w:val="000000"/>
                <w:szCs w:val="21"/>
              </w:rPr>
            </w:pPr>
            <w:r>
              <w:rPr>
                <w:color w:val="000000"/>
                <w:szCs w:val="21"/>
              </w:rPr>
              <w:t>鄂州市茅草集贸市场</w:t>
            </w:r>
          </w:p>
        </w:tc>
        <w:tc>
          <w:tcPr>
            <w:tcW w:w="1197" w:type="dxa"/>
            <w:vAlign w:val="center"/>
          </w:tcPr>
          <w:p w14:paraId="02DD48D2">
            <w:pPr>
              <w:snapToGrid w:val="0"/>
              <w:jc w:val="center"/>
              <w:rPr>
                <w:color w:val="000000"/>
                <w:szCs w:val="21"/>
              </w:rPr>
            </w:pPr>
            <w:r>
              <w:rPr>
                <w:color w:val="000000"/>
                <w:szCs w:val="21"/>
              </w:rPr>
              <w:t>600</w:t>
            </w:r>
          </w:p>
        </w:tc>
        <w:tc>
          <w:tcPr>
            <w:tcW w:w="931" w:type="dxa"/>
            <w:vAlign w:val="center"/>
          </w:tcPr>
          <w:p w14:paraId="6196CE31">
            <w:pPr>
              <w:snapToGrid w:val="0"/>
              <w:jc w:val="center"/>
              <w:rPr>
                <w:color w:val="000000"/>
                <w:szCs w:val="21"/>
              </w:rPr>
            </w:pPr>
            <w:r>
              <w:rPr>
                <w:color w:val="000000"/>
                <w:szCs w:val="21"/>
              </w:rPr>
              <w:t>100</w:t>
            </w:r>
          </w:p>
        </w:tc>
        <w:tc>
          <w:tcPr>
            <w:tcW w:w="665" w:type="dxa"/>
            <w:vAlign w:val="center"/>
          </w:tcPr>
          <w:p w14:paraId="66397B74">
            <w:pPr>
              <w:snapToGrid w:val="0"/>
              <w:jc w:val="center"/>
              <w:rPr>
                <w:color w:val="000000"/>
                <w:szCs w:val="21"/>
              </w:rPr>
            </w:pPr>
            <w:r>
              <w:rPr>
                <w:color w:val="000000"/>
                <w:szCs w:val="21"/>
              </w:rPr>
              <w:t>0.53</w:t>
            </w:r>
          </w:p>
        </w:tc>
        <w:tc>
          <w:tcPr>
            <w:tcW w:w="931" w:type="dxa"/>
            <w:vAlign w:val="center"/>
          </w:tcPr>
          <w:p w14:paraId="5C12C86E">
            <w:pPr>
              <w:snapToGrid w:val="0"/>
              <w:jc w:val="center"/>
              <w:rPr>
                <w:color w:val="000000"/>
                <w:szCs w:val="21"/>
              </w:rPr>
            </w:pPr>
            <w:r>
              <w:rPr>
                <w:color w:val="000000"/>
                <w:szCs w:val="21"/>
              </w:rPr>
              <w:t>29</w:t>
            </w:r>
          </w:p>
        </w:tc>
        <w:tc>
          <w:tcPr>
            <w:tcW w:w="800" w:type="dxa"/>
            <w:vMerge w:val="continue"/>
            <w:vAlign w:val="center"/>
          </w:tcPr>
          <w:p w14:paraId="14A7CEDF">
            <w:pPr>
              <w:snapToGrid w:val="0"/>
              <w:jc w:val="center"/>
              <w:rPr>
                <w:color w:val="000000"/>
                <w:kern w:val="0"/>
                <w:szCs w:val="21"/>
              </w:rPr>
            </w:pPr>
          </w:p>
        </w:tc>
        <w:tc>
          <w:tcPr>
            <w:tcW w:w="1112" w:type="dxa"/>
            <w:vMerge w:val="continue"/>
            <w:vAlign w:val="center"/>
          </w:tcPr>
          <w:p w14:paraId="3854DE63">
            <w:pPr>
              <w:snapToGrid w:val="0"/>
              <w:jc w:val="center"/>
              <w:rPr>
                <w:color w:val="000000"/>
                <w:kern w:val="0"/>
                <w:szCs w:val="21"/>
              </w:rPr>
            </w:pPr>
          </w:p>
        </w:tc>
      </w:tr>
      <w:tr w14:paraId="6E90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11C83561">
            <w:pPr>
              <w:snapToGrid w:val="0"/>
              <w:jc w:val="center"/>
              <w:rPr>
                <w:color w:val="000000"/>
                <w:kern w:val="0"/>
                <w:szCs w:val="21"/>
              </w:rPr>
            </w:pPr>
          </w:p>
        </w:tc>
        <w:tc>
          <w:tcPr>
            <w:tcW w:w="1985" w:type="dxa"/>
            <w:vAlign w:val="center"/>
          </w:tcPr>
          <w:p w14:paraId="5A0A4FEC">
            <w:pPr>
              <w:snapToGrid w:val="0"/>
              <w:jc w:val="center"/>
              <w:rPr>
                <w:color w:val="000000"/>
                <w:szCs w:val="21"/>
              </w:rPr>
            </w:pPr>
            <w:r>
              <w:rPr>
                <w:color w:val="000000"/>
                <w:szCs w:val="21"/>
              </w:rPr>
              <w:t>李家下湾市场</w:t>
            </w:r>
          </w:p>
        </w:tc>
        <w:tc>
          <w:tcPr>
            <w:tcW w:w="1197" w:type="dxa"/>
            <w:vAlign w:val="center"/>
          </w:tcPr>
          <w:p w14:paraId="408C9620">
            <w:pPr>
              <w:snapToGrid w:val="0"/>
              <w:jc w:val="center"/>
              <w:rPr>
                <w:color w:val="000000"/>
                <w:szCs w:val="21"/>
              </w:rPr>
            </w:pPr>
            <w:r>
              <w:rPr>
                <w:color w:val="000000"/>
                <w:szCs w:val="21"/>
              </w:rPr>
              <w:t>2700</w:t>
            </w:r>
          </w:p>
        </w:tc>
        <w:tc>
          <w:tcPr>
            <w:tcW w:w="931" w:type="dxa"/>
            <w:vAlign w:val="center"/>
          </w:tcPr>
          <w:p w14:paraId="6A6167A3">
            <w:pPr>
              <w:snapToGrid w:val="0"/>
              <w:jc w:val="center"/>
              <w:rPr>
                <w:color w:val="000000"/>
                <w:szCs w:val="21"/>
              </w:rPr>
            </w:pPr>
            <w:r>
              <w:rPr>
                <w:color w:val="000000"/>
                <w:szCs w:val="21"/>
              </w:rPr>
              <w:t>70</w:t>
            </w:r>
          </w:p>
        </w:tc>
        <w:tc>
          <w:tcPr>
            <w:tcW w:w="665" w:type="dxa"/>
            <w:vAlign w:val="center"/>
          </w:tcPr>
          <w:p w14:paraId="0456FF20">
            <w:pPr>
              <w:snapToGrid w:val="0"/>
              <w:jc w:val="center"/>
              <w:rPr>
                <w:color w:val="000000"/>
                <w:szCs w:val="21"/>
              </w:rPr>
            </w:pPr>
            <w:r>
              <w:rPr>
                <w:color w:val="000000"/>
                <w:szCs w:val="21"/>
              </w:rPr>
              <w:t>0.49</w:t>
            </w:r>
          </w:p>
        </w:tc>
        <w:tc>
          <w:tcPr>
            <w:tcW w:w="931" w:type="dxa"/>
            <w:vAlign w:val="center"/>
          </w:tcPr>
          <w:p w14:paraId="0DA7963F">
            <w:pPr>
              <w:snapToGrid w:val="0"/>
              <w:jc w:val="center"/>
              <w:rPr>
                <w:color w:val="000000"/>
                <w:szCs w:val="21"/>
              </w:rPr>
            </w:pPr>
            <w:r>
              <w:rPr>
                <w:color w:val="000000"/>
                <w:szCs w:val="21"/>
              </w:rPr>
              <w:t>27</w:t>
            </w:r>
          </w:p>
        </w:tc>
        <w:tc>
          <w:tcPr>
            <w:tcW w:w="800" w:type="dxa"/>
            <w:vMerge w:val="continue"/>
            <w:vAlign w:val="center"/>
          </w:tcPr>
          <w:p w14:paraId="60DC91C4">
            <w:pPr>
              <w:snapToGrid w:val="0"/>
              <w:jc w:val="center"/>
              <w:rPr>
                <w:color w:val="000000"/>
                <w:kern w:val="0"/>
                <w:szCs w:val="21"/>
              </w:rPr>
            </w:pPr>
          </w:p>
        </w:tc>
        <w:tc>
          <w:tcPr>
            <w:tcW w:w="1112" w:type="dxa"/>
            <w:vMerge w:val="continue"/>
            <w:vAlign w:val="center"/>
          </w:tcPr>
          <w:p w14:paraId="3DD85FAF">
            <w:pPr>
              <w:snapToGrid w:val="0"/>
              <w:jc w:val="center"/>
              <w:rPr>
                <w:color w:val="000000"/>
                <w:kern w:val="0"/>
                <w:szCs w:val="21"/>
              </w:rPr>
            </w:pPr>
          </w:p>
        </w:tc>
      </w:tr>
      <w:tr w14:paraId="2804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1809C41D">
            <w:pPr>
              <w:snapToGrid w:val="0"/>
              <w:jc w:val="center"/>
              <w:rPr>
                <w:color w:val="000000"/>
                <w:kern w:val="0"/>
                <w:szCs w:val="21"/>
              </w:rPr>
            </w:pPr>
          </w:p>
        </w:tc>
        <w:tc>
          <w:tcPr>
            <w:tcW w:w="1985" w:type="dxa"/>
            <w:vAlign w:val="center"/>
          </w:tcPr>
          <w:p w14:paraId="574A8707">
            <w:pPr>
              <w:snapToGrid w:val="0"/>
              <w:jc w:val="center"/>
              <w:rPr>
                <w:color w:val="000000"/>
                <w:szCs w:val="21"/>
              </w:rPr>
            </w:pPr>
            <w:r>
              <w:rPr>
                <w:color w:val="000000"/>
                <w:szCs w:val="21"/>
              </w:rPr>
              <w:t>蟠龙集贸市场</w:t>
            </w:r>
          </w:p>
        </w:tc>
        <w:tc>
          <w:tcPr>
            <w:tcW w:w="1197" w:type="dxa"/>
            <w:vAlign w:val="center"/>
          </w:tcPr>
          <w:p w14:paraId="1385412C">
            <w:pPr>
              <w:snapToGrid w:val="0"/>
              <w:jc w:val="center"/>
              <w:rPr>
                <w:color w:val="000000"/>
                <w:szCs w:val="21"/>
              </w:rPr>
            </w:pPr>
            <w:r>
              <w:rPr>
                <w:color w:val="000000"/>
                <w:szCs w:val="21"/>
              </w:rPr>
              <w:t>3380</w:t>
            </w:r>
          </w:p>
        </w:tc>
        <w:tc>
          <w:tcPr>
            <w:tcW w:w="931" w:type="dxa"/>
            <w:vAlign w:val="center"/>
          </w:tcPr>
          <w:p w14:paraId="30FF1234">
            <w:pPr>
              <w:snapToGrid w:val="0"/>
              <w:jc w:val="center"/>
              <w:rPr>
                <w:color w:val="000000"/>
                <w:szCs w:val="21"/>
              </w:rPr>
            </w:pPr>
            <w:r>
              <w:rPr>
                <w:color w:val="000000"/>
                <w:szCs w:val="21"/>
              </w:rPr>
              <w:t>60</w:t>
            </w:r>
          </w:p>
        </w:tc>
        <w:tc>
          <w:tcPr>
            <w:tcW w:w="665" w:type="dxa"/>
            <w:vAlign w:val="center"/>
          </w:tcPr>
          <w:p w14:paraId="3B7DE290">
            <w:pPr>
              <w:snapToGrid w:val="0"/>
              <w:jc w:val="center"/>
              <w:rPr>
                <w:color w:val="000000"/>
                <w:szCs w:val="21"/>
              </w:rPr>
            </w:pPr>
            <w:r>
              <w:rPr>
                <w:color w:val="000000"/>
                <w:szCs w:val="21"/>
              </w:rPr>
              <w:t>0.46</w:t>
            </w:r>
          </w:p>
        </w:tc>
        <w:tc>
          <w:tcPr>
            <w:tcW w:w="931" w:type="dxa"/>
            <w:vAlign w:val="center"/>
          </w:tcPr>
          <w:p w14:paraId="4FB45558">
            <w:pPr>
              <w:snapToGrid w:val="0"/>
              <w:jc w:val="center"/>
              <w:rPr>
                <w:color w:val="000000"/>
                <w:szCs w:val="21"/>
              </w:rPr>
            </w:pPr>
            <w:r>
              <w:rPr>
                <w:color w:val="000000"/>
                <w:szCs w:val="21"/>
              </w:rPr>
              <w:t>25</w:t>
            </w:r>
          </w:p>
        </w:tc>
        <w:tc>
          <w:tcPr>
            <w:tcW w:w="800" w:type="dxa"/>
            <w:vMerge w:val="continue"/>
            <w:vAlign w:val="center"/>
          </w:tcPr>
          <w:p w14:paraId="4861A0C2">
            <w:pPr>
              <w:snapToGrid w:val="0"/>
              <w:jc w:val="center"/>
              <w:rPr>
                <w:color w:val="000000"/>
                <w:kern w:val="0"/>
                <w:szCs w:val="21"/>
              </w:rPr>
            </w:pPr>
          </w:p>
        </w:tc>
        <w:tc>
          <w:tcPr>
            <w:tcW w:w="1112" w:type="dxa"/>
            <w:vMerge w:val="continue"/>
            <w:vAlign w:val="center"/>
          </w:tcPr>
          <w:p w14:paraId="06F03D78">
            <w:pPr>
              <w:snapToGrid w:val="0"/>
              <w:jc w:val="center"/>
              <w:rPr>
                <w:color w:val="000000"/>
                <w:kern w:val="0"/>
                <w:szCs w:val="21"/>
              </w:rPr>
            </w:pPr>
          </w:p>
        </w:tc>
      </w:tr>
      <w:tr w14:paraId="419E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2455095F">
            <w:pPr>
              <w:snapToGrid w:val="0"/>
              <w:jc w:val="center"/>
              <w:rPr>
                <w:color w:val="000000"/>
                <w:kern w:val="0"/>
                <w:szCs w:val="21"/>
              </w:rPr>
            </w:pPr>
          </w:p>
        </w:tc>
        <w:tc>
          <w:tcPr>
            <w:tcW w:w="1985" w:type="dxa"/>
            <w:vAlign w:val="center"/>
          </w:tcPr>
          <w:p w14:paraId="1D89E861">
            <w:pPr>
              <w:snapToGrid w:val="0"/>
              <w:jc w:val="center"/>
              <w:rPr>
                <w:color w:val="000000"/>
                <w:szCs w:val="21"/>
              </w:rPr>
            </w:pPr>
            <w:r>
              <w:rPr>
                <w:color w:val="000000"/>
                <w:szCs w:val="21"/>
              </w:rPr>
              <w:t>南塔市场</w:t>
            </w:r>
          </w:p>
        </w:tc>
        <w:tc>
          <w:tcPr>
            <w:tcW w:w="1197" w:type="dxa"/>
            <w:vAlign w:val="center"/>
          </w:tcPr>
          <w:p w14:paraId="22C0FC88">
            <w:pPr>
              <w:snapToGrid w:val="0"/>
              <w:jc w:val="center"/>
              <w:rPr>
                <w:color w:val="000000"/>
                <w:szCs w:val="21"/>
              </w:rPr>
            </w:pPr>
            <w:r>
              <w:rPr>
                <w:color w:val="000000"/>
                <w:szCs w:val="21"/>
              </w:rPr>
              <w:t>590</w:t>
            </w:r>
          </w:p>
        </w:tc>
        <w:tc>
          <w:tcPr>
            <w:tcW w:w="931" w:type="dxa"/>
            <w:vAlign w:val="center"/>
          </w:tcPr>
          <w:p w14:paraId="4F14B96E">
            <w:pPr>
              <w:snapToGrid w:val="0"/>
              <w:jc w:val="center"/>
              <w:rPr>
                <w:color w:val="000000"/>
                <w:szCs w:val="21"/>
              </w:rPr>
            </w:pPr>
            <w:r>
              <w:rPr>
                <w:color w:val="000000"/>
                <w:szCs w:val="21"/>
              </w:rPr>
              <w:t>63</w:t>
            </w:r>
          </w:p>
        </w:tc>
        <w:tc>
          <w:tcPr>
            <w:tcW w:w="665" w:type="dxa"/>
            <w:vAlign w:val="center"/>
          </w:tcPr>
          <w:p w14:paraId="4E242327">
            <w:pPr>
              <w:snapToGrid w:val="0"/>
              <w:jc w:val="center"/>
              <w:rPr>
                <w:color w:val="000000"/>
                <w:szCs w:val="21"/>
              </w:rPr>
            </w:pPr>
            <w:r>
              <w:rPr>
                <w:color w:val="000000"/>
                <w:szCs w:val="21"/>
              </w:rPr>
              <w:t>0.42</w:t>
            </w:r>
          </w:p>
        </w:tc>
        <w:tc>
          <w:tcPr>
            <w:tcW w:w="931" w:type="dxa"/>
            <w:vAlign w:val="center"/>
          </w:tcPr>
          <w:p w14:paraId="48FD0386">
            <w:pPr>
              <w:snapToGrid w:val="0"/>
              <w:jc w:val="center"/>
              <w:rPr>
                <w:color w:val="000000"/>
                <w:szCs w:val="21"/>
              </w:rPr>
            </w:pPr>
            <w:r>
              <w:rPr>
                <w:color w:val="000000"/>
                <w:szCs w:val="21"/>
              </w:rPr>
              <w:t>23</w:t>
            </w:r>
          </w:p>
        </w:tc>
        <w:tc>
          <w:tcPr>
            <w:tcW w:w="800" w:type="dxa"/>
            <w:vMerge w:val="continue"/>
            <w:vAlign w:val="center"/>
          </w:tcPr>
          <w:p w14:paraId="27456FBA">
            <w:pPr>
              <w:snapToGrid w:val="0"/>
              <w:jc w:val="center"/>
              <w:rPr>
                <w:color w:val="000000"/>
                <w:kern w:val="0"/>
                <w:szCs w:val="21"/>
              </w:rPr>
            </w:pPr>
          </w:p>
        </w:tc>
        <w:tc>
          <w:tcPr>
            <w:tcW w:w="1112" w:type="dxa"/>
            <w:vMerge w:val="continue"/>
            <w:vAlign w:val="center"/>
          </w:tcPr>
          <w:p w14:paraId="71FFA612">
            <w:pPr>
              <w:snapToGrid w:val="0"/>
              <w:jc w:val="center"/>
              <w:rPr>
                <w:color w:val="000000"/>
                <w:kern w:val="0"/>
                <w:szCs w:val="21"/>
              </w:rPr>
            </w:pPr>
          </w:p>
        </w:tc>
      </w:tr>
      <w:tr w14:paraId="3789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0B50F8E1">
            <w:pPr>
              <w:snapToGrid w:val="0"/>
              <w:jc w:val="center"/>
              <w:rPr>
                <w:color w:val="000000"/>
                <w:kern w:val="0"/>
                <w:szCs w:val="21"/>
              </w:rPr>
            </w:pPr>
          </w:p>
        </w:tc>
        <w:tc>
          <w:tcPr>
            <w:tcW w:w="1985" w:type="dxa"/>
            <w:vAlign w:val="center"/>
          </w:tcPr>
          <w:p w14:paraId="7F30D17B">
            <w:pPr>
              <w:snapToGrid w:val="0"/>
              <w:jc w:val="center"/>
              <w:rPr>
                <w:color w:val="000000"/>
                <w:szCs w:val="21"/>
              </w:rPr>
            </w:pPr>
            <w:r>
              <w:rPr>
                <w:color w:val="000000"/>
                <w:szCs w:val="21"/>
              </w:rPr>
              <w:t>十字街农贸市场</w:t>
            </w:r>
          </w:p>
        </w:tc>
        <w:tc>
          <w:tcPr>
            <w:tcW w:w="1197" w:type="dxa"/>
            <w:vAlign w:val="center"/>
          </w:tcPr>
          <w:p w14:paraId="452FD562">
            <w:pPr>
              <w:snapToGrid w:val="0"/>
              <w:jc w:val="center"/>
              <w:rPr>
                <w:color w:val="000000"/>
                <w:szCs w:val="21"/>
              </w:rPr>
            </w:pPr>
            <w:r>
              <w:rPr>
                <w:color w:val="000000"/>
                <w:szCs w:val="21"/>
              </w:rPr>
              <w:t>2400</w:t>
            </w:r>
          </w:p>
        </w:tc>
        <w:tc>
          <w:tcPr>
            <w:tcW w:w="931" w:type="dxa"/>
            <w:vAlign w:val="center"/>
          </w:tcPr>
          <w:p w14:paraId="6492EEC5">
            <w:pPr>
              <w:snapToGrid w:val="0"/>
              <w:jc w:val="center"/>
              <w:rPr>
                <w:color w:val="000000"/>
                <w:szCs w:val="21"/>
              </w:rPr>
            </w:pPr>
            <w:r>
              <w:rPr>
                <w:color w:val="000000"/>
                <w:szCs w:val="21"/>
              </w:rPr>
              <w:t>54</w:t>
            </w:r>
          </w:p>
        </w:tc>
        <w:tc>
          <w:tcPr>
            <w:tcW w:w="665" w:type="dxa"/>
            <w:vAlign w:val="center"/>
          </w:tcPr>
          <w:p w14:paraId="13FF48BB">
            <w:pPr>
              <w:snapToGrid w:val="0"/>
              <w:jc w:val="center"/>
              <w:rPr>
                <w:color w:val="000000"/>
                <w:szCs w:val="21"/>
              </w:rPr>
            </w:pPr>
            <w:r>
              <w:rPr>
                <w:color w:val="000000"/>
                <w:szCs w:val="21"/>
              </w:rPr>
              <w:t>0.42</w:t>
            </w:r>
          </w:p>
        </w:tc>
        <w:tc>
          <w:tcPr>
            <w:tcW w:w="931" w:type="dxa"/>
            <w:vAlign w:val="center"/>
          </w:tcPr>
          <w:p w14:paraId="15C39C36">
            <w:pPr>
              <w:snapToGrid w:val="0"/>
              <w:jc w:val="center"/>
              <w:rPr>
                <w:color w:val="000000"/>
                <w:szCs w:val="21"/>
              </w:rPr>
            </w:pPr>
            <w:r>
              <w:rPr>
                <w:color w:val="000000"/>
                <w:szCs w:val="21"/>
              </w:rPr>
              <w:t>23</w:t>
            </w:r>
          </w:p>
        </w:tc>
        <w:tc>
          <w:tcPr>
            <w:tcW w:w="800" w:type="dxa"/>
            <w:vMerge w:val="continue"/>
            <w:vAlign w:val="center"/>
          </w:tcPr>
          <w:p w14:paraId="0426582F">
            <w:pPr>
              <w:snapToGrid w:val="0"/>
              <w:jc w:val="center"/>
              <w:rPr>
                <w:color w:val="000000"/>
                <w:kern w:val="0"/>
                <w:szCs w:val="21"/>
              </w:rPr>
            </w:pPr>
          </w:p>
        </w:tc>
        <w:tc>
          <w:tcPr>
            <w:tcW w:w="1112" w:type="dxa"/>
            <w:vMerge w:val="continue"/>
            <w:vAlign w:val="center"/>
          </w:tcPr>
          <w:p w14:paraId="784D21CB">
            <w:pPr>
              <w:snapToGrid w:val="0"/>
              <w:jc w:val="center"/>
              <w:rPr>
                <w:color w:val="000000"/>
                <w:kern w:val="0"/>
                <w:szCs w:val="21"/>
              </w:rPr>
            </w:pPr>
          </w:p>
        </w:tc>
      </w:tr>
      <w:tr w14:paraId="763C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restart"/>
            <w:vAlign w:val="center"/>
          </w:tcPr>
          <w:p w14:paraId="6B0BBF0B">
            <w:pPr>
              <w:snapToGrid w:val="0"/>
              <w:jc w:val="center"/>
              <w:rPr>
                <w:color w:val="000000"/>
                <w:kern w:val="0"/>
                <w:szCs w:val="21"/>
              </w:rPr>
            </w:pPr>
            <w:r>
              <w:rPr>
                <w:color w:val="000000"/>
                <w:kern w:val="0"/>
                <w:szCs w:val="21"/>
              </w:rPr>
              <w:t>3</w:t>
            </w:r>
          </w:p>
        </w:tc>
        <w:tc>
          <w:tcPr>
            <w:tcW w:w="1985" w:type="dxa"/>
            <w:vAlign w:val="center"/>
          </w:tcPr>
          <w:p w14:paraId="7EA321AC">
            <w:pPr>
              <w:snapToGrid w:val="0"/>
              <w:jc w:val="center"/>
              <w:rPr>
                <w:color w:val="000000"/>
                <w:szCs w:val="21"/>
              </w:rPr>
            </w:pPr>
            <w:r>
              <w:rPr>
                <w:color w:val="000000"/>
                <w:szCs w:val="21"/>
              </w:rPr>
              <w:t>樊口市场</w:t>
            </w:r>
          </w:p>
        </w:tc>
        <w:tc>
          <w:tcPr>
            <w:tcW w:w="1197" w:type="dxa"/>
            <w:vAlign w:val="center"/>
          </w:tcPr>
          <w:p w14:paraId="69A3999A">
            <w:pPr>
              <w:snapToGrid w:val="0"/>
              <w:jc w:val="center"/>
              <w:rPr>
                <w:color w:val="000000"/>
                <w:szCs w:val="21"/>
              </w:rPr>
            </w:pPr>
            <w:r>
              <w:rPr>
                <w:color w:val="000000"/>
                <w:szCs w:val="21"/>
              </w:rPr>
              <w:t>3000</w:t>
            </w:r>
          </w:p>
        </w:tc>
        <w:tc>
          <w:tcPr>
            <w:tcW w:w="931" w:type="dxa"/>
            <w:vAlign w:val="center"/>
          </w:tcPr>
          <w:p w14:paraId="6092ED6B">
            <w:pPr>
              <w:snapToGrid w:val="0"/>
              <w:jc w:val="center"/>
              <w:rPr>
                <w:color w:val="000000"/>
                <w:szCs w:val="21"/>
              </w:rPr>
            </w:pPr>
            <w:r>
              <w:rPr>
                <w:color w:val="000000"/>
                <w:szCs w:val="21"/>
              </w:rPr>
              <w:t>58</w:t>
            </w:r>
          </w:p>
        </w:tc>
        <w:tc>
          <w:tcPr>
            <w:tcW w:w="665" w:type="dxa"/>
            <w:vAlign w:val="center"/>
          </w:tcPr>
          <w:p w14:paraId="7E062B7E">
            <w:pPr>
              <w:snapToGrid w:val="0"/>
              <w:jc w:val="center"/>
              <w:rPr>
                <w:color w:val="000000"/>
                <w:szCs w:val="21"/>
              </w:rPr>
            </w:pPr>
            <w:r>
              <w:rPr>
                <w:color w:val="000000"/>
                <w:szCs w:val="21"/>
              </w:rPr>
              <w:t>0.44</w:t>
            </w:r>
          </w:p>
        </w:tc>
        <w:tc>
          <w:tcPr>
            <w:tcW w:w="931" w:type="dxa"/>
            <w:vAlign w:val="center"/>
          </w:tcPr>
          <w:p w14:paraId="0BB05F15">
            <w:pPr>
              <w:snapToGrid w:val="0"/>
              <w:jc w:val="center"/>
              <w:rPr>
                <w:color w:val="000000"/>
                <w:szCs w:val="21"/>
              </w:rPr>
            </w:pPr>
            <w:r>
              <w:rPr>
                <w:color w:val="000000"/>
                <w:szCs w:val="21"/>
              </w:rPr>
              <w:t>24</w:t>
            </w:r>
          </w:p>
        </w:tc>
        <w:tc>
          <w:tcPr>
            <w:tcW w:w="800" w:type="dxa"/>
            <w:vMerge w:val="restart"/>
            <w:vAlign w:val="center"/>
          </w:tcPr>
          <w:p w14:paraId="119FC1B7">
            <w:pPr>
              <w:snapToGrid w:val="0"/>
              <w:jc w:val="center"/>
              <w:rPr>
                <w:color w:val="000000"/>
                <w:kern w:val="0"/>
                <w:szCs w:val="21"/>
              </w:rPr>
            </w:pPr>
            <w:r>
              <w:rPr>
                <w:color w:val="000000"/>
                <w:kern w:val="0"/>
                <w:szCs w:val="21"/>
              </w:rPr>
              <w:t>52</w:t>
            </w:r>
          </w:p>
        </w:tc>
        <w:tc>
          <w:tcPr>
            <w:tcW w:w="1112" w:type="dxa"/>
            <w:vMerge w:val="restart"/>
            <w:vAlign w:val="center"/>
          </w:tcPr>
          <w:p w14:paraId="7EFB488D">
            <w:pPr>
              <w:snapToGrid w:val="0"/>
              <w:jc w:val="center"/>
              <w:rPr>
                <w:color w:val="000000"/>
                <w:kern w:val="0"/>
                <w:szCs w:val="21"/>
              </w:rPr>
            </w:pPr>
            <w:r>
              <w:rPr>
                <w:color w:val="000000"/>
                <w:kern w:val="0"/>
                <w:szCs w:val="21"/>
              </w:rPr>
              <w:t>1225</w:t>
            </w:r>
          </w:p>
        </w:tc>
      </w:tr>
      <w:tr w14:paraId="7F41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078C4DEF">
            <w:pPr>
              <w:snapToGrid w:val="0"/>
              <w:jc w:val="center"/>
              <w:rPr>
                <w:color w:val="000000"/>
                <w:kern w:val="0"/>
                <w:szCs w:val="21"/>
              </w:rPr>
            </w:pPr>
          </w:p>
        </w:tc>
        <w:tc>
          <w:tcPr>
            <w:tcW w:w="1985" w:type="dxa"/>
            <w:vAlign w:val="center"/>
          </w:tcPr>
          <w:p w14:paraId="0172AB5C">
            <w:pPr>
              <w:snapToGrid w:val="0"/>
              <w:jc w:val="center"/>
              <w:rPr>
                <w:color w:val="000000"/>
                <w:szCs w:val="21"/>
              </w:rPr>
            </w:pPr>
            <w:r>
              <w:rPr>
                <w:color w:val="000000"/>
                <w:szCs w:val="21"/>
              </w:rPr>
              <w:t>杜山集贸市场</w:t>
            </w:r>
          </w:p>
        </w:tc>
        <w:tc>
          <w:tcPr>
            <w:tcW w:w="1197" w:type="dxa"/>
            <w:vAlign w:val="center"/>
          </w:tcPr>
          <w:p w14:paraId="60C14AE4">
            <w:pPr>
              <w:snapToGrid w:val="0"/>
              <w:jc w:val="center"/>
              <w:rPr>
                <w:color w:val="000000"/>
                <w:szCs w:val="21"/>
              </w:rPr>
            </w:pPr>
            <w:r>
              <w:rPr>
                <w:color w:val="000000"/>
                <w:szCs w:val="21"/>
              </w:rPr>
              <w:t>800</w:t>
            </w:r>
          </w:p>
        </w:tc>
        <w:tc>
          <w:tcPr>
            <w:tcW w:w="931" w:type="dxa"/>
            <w:vAlign w:val="center"/>
          </w:tcPr>
          <w:p w14:paraId="36A7CFB6">
            <w:pPr>
              <w:snapToGrid w:val="0"/>
              <w:jc w:val="center"/>
              <w:rPr>
                <w:color w:val="000000"/>
                <w:szCs w:val="21"/>
              </w:rPr>
            </w:pPr>
            <w:r>
              <w:rPr>
                <w:color w:val="000000"/>
                <w:szCs w:val="21"/>
              </w:rPr>
              <w:t>60</w:t>
            </w:r>
          </w:p>
        </w:tc>
        <w:tc>
          <w:tcPr>
            <w:tcW w:w="665" w:type="dxa"/>
            <w:vAlign w:val="center"/>
          </w:tcPr>
          <w:p w14:paraId="3EDAB73F">
            <w:pPr>
              <w:snapToGrid w:val="0"/>
              <w:jc w:val="center"/>
              <w:rPr>
                <w:color w:val="000000"/>
                <w:szCs w:val="21"/>
              </w:rPr>
            </w:pPr>
            <w:r>
              <w:rPr>
                <w:color w:val="000000"/>
                <w:szCs w:val="21"/>
              </w:rPr>
              <w:t>0.41</w:t>
            </w:r>
          </w:p>
        </w:tc>
        <w:tc>
          <w:tcPr>
            <w:tcW w:w="931" w:type="dxa"/>
            <w:vAlign w:val="center"/>
          </w:tcPr>
          <w:p w14:paraId="2A2B09FF">
            <w:pPr>
              <w:snapToGrid w:val="0"/>
              <w:jc w:val="center"/>
              <w:rPr>
                <w:color w:val="000000"/>
                <w:szCs w:val="21"/>
              </w:rPr>
            </w:pPr>
            <w:r>
              <w:rPr>
                <w:color w:val="000000"/>
                <w:szCs w:val="21"/>
              </w:rPr>
              <w:t>23</w:t>
            </w:r>
          </w:p>
        </w:tc>
        <w:tc>
          <w:tcPr>
            <w:tcW w:w="800" w:type="dxa"/>
            <w:vMerge w:val="continue"/>
            <w:vAlign w:val="center"/>
          </w:tcPr>
          <w:p w14:paraId="073996BC">
            <w:pPr>
              <w:snapToGrid w:val="0"/>
              <w:jc w:val="center"/>
              <w:rPr>
                <w:color w:val="000000"/>
                <w:kern w:val="0"/>
                <w:szCs w:val="21"/>
              </w:rPr>
            </w:pPr>
          </w:p>
        </w:tc>
        <w:tc>
          <w:tcPr>
            <w:tcW w:w="1112" w:type="dxa"/>
            <w:vMerge w:val="continue"/>
            <w:vAlign w:val="center"/>
          </w:tcPr>
          <w:p w14:paraId="69C36600">
            <w:pPr>
              <w:snapToGrid w:val="0"/>
              <w:jc w:val="center"/>
              <w:rPr>
                <w:color w:val="000000"/>
                <w:kern w:val="0"/>
                <w:szCs w:val="21"/>
              </w:rPr>
            </w:pPr>
          </w:p>
        </w:tc>
      </w:tr>
      <w:tr w14:paraId="513E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6FA7B8AE">
            <w:pPr>
              <w:snapToGrid w:val="0"/>
              <w:jc w:val="center"/>
              <w:rPr>
                <w:color w:val="000000"/>
                <w:kern w:val="0"/>
                <w:szCs w:val="21"/>
              </w:rPr>
            </w:pPr>
          </w:p>
        </w:tc>
        <w:tc>
          <w:tcPr>
            <w:tcW w:w="1985" w:type="dxa"/>
            <w:vAlign w:val="center"/>
          </w:tcPr>
          <w:p w14:paraId="73CA15DE">
            <w:pPr>
              <w:snapToGrid w:val="0"/>
              <w:jc w:val="center"/>
              <w:rPr>
                <w:color w:val="000000"/>
                <w:szCs w:val="21"/>
              </w:rPr>
            </w:pPr>
            <w:r>
              <w:rPr>
                <w:color w:val="000000"/>
                <w:szCs w:val="21"/>
              </w:rPr>
              <w:t>鄂州市泽林镇程潮东岳商务服务部</w:t>
            </w:r>
          </w:p>
        </w:tc>
        <w:tc>
          <w:tcPr>
            <w:tcW w:w="1197" w:type="dxa"/>
            <w:vAlign w:val="center"/>
          </w:tcPr>
          <w:p w14:paraId="1FEB3C65">
            <w:pPr>
              <w:snapToGrid w:val="0"/>
              <w:jc w:val="center"/>
              <w:rPr>
                <w:color w:val="000000"/>
                <w:szCs w:val="21"/>
              </w:rPr>
            </w:pPr>
            <w:r>
              <w:rPr>
                <w:color w:val="000000"/>
                <w:szCs w:val="21"/>
              </w:rPr>
              <w:t>1600</w:t>
            </w:r>
          </w:p>
        </w:tc>
        <w:tc>
          <w:tcPr>
            <w:tcW w:w="931" w:type="dxa"/>
            <w:vAlign w:val="center"/>
          </w:tcPr>
          <w:p w14:paraId="5F4E1F1A">
            <w:pPr>
              <w:snapToGrid w:val="0"/>
              <w:jc w:val="center"/>
              <w:rPr>
                <w:color w:val="000000"/>
                <w:szCs w:val="21"/>
              </w:rPr>
            </w:pPr>
            <w:r>
              <w:rPr>
                <w:color w:val="000000"/>
                <w:szCs w:val="21"/>
              </w:rPr>
              <w:t>56</w:t>
            </w:r>
          </w:p>
        </w:tc>
        <w:tc>
          <w:tcPr>
            <w:tcW w:w="665" w:type="dxa"/>
            <w:vAlign w:val="center"/>
          </w:tcPr>
          <w:p w14:paraId="153BC804">
            <w:pPr>
              <w:snapToGrid w:val="0"/>
              <w:jc w:val="center"/>
              <w:rPr>
                <w:color w:val="000000"/>
                <w:szCs w:val="21"/>
              </w:rPr>
            </w:pPr>
            <w:r>
              <w:rPr>
                <w:color w:val="000000"/>
                <w:szCs w:val="21"/>
              </w:rPr>
              <w:t>0.41</w:t>
            </w:r>
          </w:p>
        </w:tc>
        <w:tc>
          <w:tcPr>
            <w:tcW w:w="931" w:type="dxa"/>
            <w:vAlign w:val="center"/>
          </w:tcPr>
          <w:p w14:paraId="4EC409B0">
            <w:pPr>
              <w:snapToGrid w:val="0"/>
              <w:jc w:val="center"/>
              <w:rPr>
                <w:color w:val="000000"/>
                <w:szCs w:val="21"/>
              </w:rPr>
            </w:pPr>
            <w:r>
              <w:rPr>
                <w:color w:val="000000"/>
                <w:szCs w:val="21"/>
              </w:rPr>
              <w:t>23</w:t>
            </w:r>
          </w:p>
        </w:tc>
        <w:tc>
          <w:tcPr>
            <w:tcW w:w="800" w:type="dxa"/>
            <w:vMerge w:val="continue"/>
            <w:vAlign w:val="center"/>
          </w:tcPr>
          <w:p w14:paraId="5CC48E7F">
            <w:pPr>
              <w:snapToGrid w:val="0"/>
              <w:jc w:val="center"/>
              <w:rPr>
                <w:color w:val="000000"/>
                <w:kern w:val="0"/>
                <w:szCs w:val="21"/>
              </w:rPr>
            </w:pPr>
          </w:p>
        </w:tc>
        <w:tc>
          <w:tcPr>
            <w:tcW w:w="1112" w:type="dxa"/>
            <w:vMerge w:val="continue"/>
            <w:vAlign w:val="center"/>
          </w:tcPr>
          <w:p w14:paraId="51FCD190">
            <w:pPr>
              <w:snapToGrid w:val="0"/>
              <w:jc w:val="center"/>
              <w:rPr>
                <w:color w:val="000000"/>
                <w:kern w:val="0"/>
                <w:szCs w:val="21"/>
              </w:rPr>
            </w:pPr>
          </w:p>
        </w:tc>
      </w:tr>
      <w:tr w14:paraId="33F2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1328E5CB">
            <w:pPr>
              <w:snapToGrid w:val="0"/>
              <w:jc w:val="center"/>
              <w:rPr>
                <w:color w:val="000000"/>
                <w:kern w:val="0"/>
                <w:szCs w:val="21"/>
              </w:rPr>
            </w:pPr>
          </w:p>
        </w:tc>
        <w:tc>
          <w:tcPr>
            <w:tcW w:w="1985" w:type="dxa"/>
            <w:vAlign w:val="center"/>
          </w:tcPr>
          <w:p w14:paraId="7AC4DE70">
            <w:pPr>
              <w:snapToGrid w:val="0"/>
              <w:jc w:val="center"/>
              <w:rPr>
                <w:color w:val="000000"/>
                <w:szCs w:val="21"/>
              </w:rPr>
            </w:pPr>
            <w:r>
              <w:rPr>
                <w:color w:val="000000"/>
                <w:szCs w:val="21"/>
              </w:rPr>
              <w:t>水产路农贸市场</w:t>
            </w:r>
          </w:p>
        </w:tc>
        <w:tc>
          <w:tcPr>
            <w:tcW w:w="1197" w:type="dxa"/>
            <w:vAlign w:val="center"/>
          </w:tcPr>
          <w:p w14:paraId="6ADC607F">
            <w:pPr>
              <w:snapToGrid w:val="0"/>
              <w:jc w:val="center"/>
              <w:rPr>
                <w:color w:val="000000"/>
                <w:szCs w:val="21"/>
              </w:rPr>
            </w:pPr>
            <w:r>
              <w:rPr>
                <w:color w:val="000000"/>
                <w:szCs w:val="21"/>
              </w:rPr>
              <w:t>1000</w:t>
            </w:r>
          </w:p>
        </w:tc>
        <w:tc>
          <w:tcPr>
            <w:tcW w:w="931" w:type="dxa"/>
            <w:vAlign w:val="center"/>
          </w:tcPr>
          <w:p w14:paraId="37B2B542">
            <w:pPr>
              <w:snapToGrid w:val="0"/>
              <w:jc w:val="center"/>
              <w:rPr>
                <w:color w:val="000000"/>
                <w:szCs w:val="21"/>
              </w:rPr>
            </w:pPr>
            <w:r>
              <w:rPr>
                <w:color w:val="000000"/>
                <w:szCs w:val="21"/>
              </w:rPr>
              <w:t>53</w:t>
            </w:r>
          </w:p>
        </w:tc>
        <w:tc>
          <w:tcPr>
            <w:tcW w:w="665" w:type="dxa"/>
            <w:vAlign w:val="center"/>
          </w:tcPr>
          <w:p w14:paraId="3FAC840A">
            <w:pPr>
              <w:snapToGrid w:val="0"/>
              <w:jc w:val="center"/>
              <w:rPr>
                <w:color w:val="000000"/>
                <w:szCs w:val="21"/>
              </w:rPr>
            </w:pPr>
            <w:r>
              <w:rPr>
                <w:color w:val="000000"/>
                <w:szCs w:val="21"/>
              </w:rPr>
              <w:t>0.39</w:t>
            </w:r>
          </w:p>
        </w:tc>
        <w:tc>
          <w:tcPr>
            <w:tcW w:w="931" w:type="dxa"/>
            <w:vAlign w:val="center"/>
          </w:tcPr>
          <w:p w14:paraId="49B4736D">
            <w:pPr>
              <w:snapToGrid w:val="0"/>
              <w:jc w:val="center"/>
              <w:rPr>
                <w:color w:val="000000"/>
                <w:szCs w:val="21"/>
              </w:rPr>
            </w:pPr>
            <w:r>
              <w:rPr>
                <w:color w:val="000000"/>
                <w:szCs w:val="21"/>
              </w:rPr>
              <w:t>21</w:t>
            </w:r>
          </w:p>
        </w:tc>
        <w:tc>
          <w:tcPr>
            <w:tcW w:w="800" w:type="dxa"/>
            <w:vMerge w:val="continue"/>
            <w:vAlign w:val="center"/>
          </w:tcPr>
          <w:p w14:paraId="1FAC6BCC">
            <w:pPr>
              <w:snapToGrid w:val="0"/>
              <w:jc w:val="center"/>
              <w:rPr>
                <w:color w:val="000000"/>
                <w:kern w:val="0"/>
                <w:szCs w:val="21"/>
              </w:rPr>
            </w:pPr>
          </w:p>
        </w:tc>
        <w:tc>
          <w:tcPr>
            <w:tcW w:w="1112" w:type="dxa"/>
            <w:vMerge w:val="continue"/>
            <w:vAlign w:val="center"/>
          </w:tcPr>
          <w:p w14:paraId="07A7F224">
            <w:pPr>
              <w:snapToGrid w:val="0"/>
              <w:jc w:val="center"/>
              <w:rPr>
                <w:color w:val="000000"/>
                <w:kern w:val="0"/>
                <w:szCs w:val="21"/>
              </w:rPr>
            </w:pPr>
          </w:p>
        </w:tc>
      </w:tr>
      <w:tr w14:paraId="5C93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3912712C">
            <w:pPr>
              <w:snapToGrid w:val="0"/>
              <w:jc w:val="center"/>
              <w:rPr>
                <w:color w:val="000000"/>
                <w:kern w:val="0"/>
                <w:szCs w:val="21"/>
              </w:rPr>
            </w:pPr>
          </w:p>
        </w:tc>
        <w:tc>
          <w:tcPr>
            <w:tcW w:w="1985" w:type="dxa"/>
            <w:vAlign w:val="center"/>
          </w:tcPr>
          <w:p w14:paraId="27B3BC0B">
            <w:pPr>
              <w:snapToGrid w:val="0"/>
              <w:jc w:val="center"/>
              <w:rPr>
                <w:color w:val="000000"/>
                <w:szCs w:val="21"/>
              </w:rPr>
            </w:pPr>
            <w:r>
              <w:rPr>
                <w:color w:val="000000"/>
                <w:szCs w:val="21"/>
              </w:rPr>
              <w:t>侧船地市场</w:t>
            </w:r>
          </w:p>
        </w:tc>
        <w:tc>
          <w:tcPr>
            <w:tcW w:w="1197" w:type="dxa"/>
            <w:vAlign w:val="center"/>
          </w:tcPr>
          <w:p w14:paraId="24EBF55E">
            <w:pPr>
              <w:snapToGrid w:val="0"/>
              <w:jc w:val="center"/>
              <w:rPr>
                <w:color w:val="000000"/>
                <w:szCs w:val="21"/>
              </w:rPr>
            </w:pPr>
            <w:r>
              <w:rPr>
                <w:color w:val="000000"/>
                <w:szCs w:val="21"/>
              </w:rPr>
              <w:t>1000</w:t>
            </w:r>
          </w:p>
        </w:tc>
        <w:tc>
          <w:tcPr>
            <w:tcW w:w="931" w:type="dxa"/>
            <w:vAlign w:val="center"/>
          </w:tcPr>
          <w:p w14:paraId="7C099951">
            <w:pPr>
              <w:snapToGrid w:val="0"/>
              <w:jc w:val="center"/>
              <w:rPr>
                <w:color w:val="000000"/>
                <w:szCs w:val="21"/>
              </w:rPr>
            </w:pPr>
            <w:r>
              <w:rPr>
                <w:color w:val="000000"/>
                <w:szCs w:val="21"/>
              </w:rPr>
              <w:t>50</w:t>
            </w:r>
          </w:p>
        </w:tc>
        <w:tc>
          <w:tcPr>
            <w:tcW w:w="665" w:type="dxa"/>
            <w:vAlign w:val="center"/>
          </w:tcPr>
          <w:p w14:paraId="0278BA9A">
            <w:pPr>
              <w:snapToGrid w:val="0"/>
              <w:jc w:val="center"/>
              <w:rPr>
                <w:color w:val="000000"/>
                <w:szCs w:val="21"/>
              </w:rPr>
            </w:pPr>
            <w:r>
              <w:rPr>
                <w:color w:val="000000"/>
                <w:szCs w:val="21"/>
              </w:rPr>
              <w:t>0.38</w:t>
            </w:r>
          </w:p>
        </w:tc>
        <w:tc>
          <w:tcPr>
            <w:tcW w:w="931" w:type="dxa"/>
            <w:vAlign w:val="center"/>
          </w:tcPr>
          <w:p w14:paraId="57ED2409">
            <w:pPr>
              <w:snapToGrid w:val="0"/>
              <w:jc w:val="center"/>
              <w:rPr>
                <w:color w:val="000000"/>
                <w:szCs w:val="21"/>
              </w:rPr>
            </w:pPr>
            <w:r>
              <w:rPr>
                <w:color w:val="000000"/>
                <w:szCs w:val="21"/>
              </w:rPr>
              <w:t>21</w:t>
            </w:r>
          </w:p>
        </w:tc>
        <w:tc>
          <w:tcPr>
            <w:tcW w:w="800" w:type="dxa"/>
            <w:vMerge w:val="continue"/>
            <w:vAlign w:val="center"/>
          </w:tcPr>
          <w:p w14:paraId="4DC4086F">
            <w:pPr>
              <w:snapToGrid w:val="0"/>
              <w:jc w:val="center"/>
              <w:rPr>
                <w:color w:val="000000"/>
                <w:kern w:val="0"/>
                <w:szCs w:val="21"/>
              </w:rPr>
            </w:pPr>
          </w:p>
        </w:tc>
        <w:tc>
          <w:tcPr>
            <w:tcW w:w="1112" w:type="dxa"/>
            <w:vMerge w:val="continue"/>
            <w:vAlign w:val="center"/>
          </w:tcPr>
          <w:p w14:paraId="34B41BD0">
            <w:pPr>
              <w:snapToGrid w:val="0"/>
              <w:jc w:val="center"/>
              <w:rPr>
                <w:color w:val="000000"/>
                <w:kern w:val="0"/>
                <w:szCs w:val="21"/>
              </w:rPr>
            </w:pPr>
          </w:p>
        </w:tc>
      </w:tr>
      <w:tr w14:paraId="72FC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27958DA1">
            <w:pPr>
              <w:snapToGrid w:val="0"/>
              <w:jc w:val="center"/>
              <w:rPr>
                <w:color w:val="000000"/>
                <w:kern w:val="0"/>
                <w:szCs w:val="21"/>
              </w:rPr>
            </w:pPr>
          </w:p>
        </w:tc>
        <w:tc>
          <w:tcPr>
            <w:tcW w:w="1985" w:type="dxa"/>
            <w:vAlign w:val="center"/>
          </w:tcPr>
          <w:p w14:paraId="2F6C0D53">
            <w:pPr>
              <w:snapToGrid w:val="0"/>
              <w:jc w:val="center"/>
              <w:rPr>
                <w:color w:val="000000"/>
                <w:szCs w:val="21"/>
              </w:rPr>
            </w:pPr>
            <w:r>
              <w:rPr>
                <w:color w:val="000000"/>
                <w:szCs w:val="21"/>
              </w:rPr>
              <w:t>五里墩集贸市场</w:t>
            </w:r>
          </w:p>
        </w:tc>
        <w:tc>
          <w:tcPr>
            <w:tcW w:w="1197" w:type="dxa"/>
            <w:vAlign w:val="center"/>
          </w:tcPr>
          <w:p w14:paraId="1226D752">
            <w:pPr>
              <w:snapToGrid w:val="0"/>
              <w:jc w:val="center"/>
              <w:rPr>
                <w:color w:val="000000"/>
                <w:szCs w:val="21"/>
              </w:rPr>
            </w:pPr>
            <w:r>
              <w:rPr>
                <w:color w:val="000000"/>
                <w:szCs w:val="21"/>
              </w:rPr>
              <w:t>600</w:t>
            </w:r>
          </w:p>
        </w:tc>
        <w:tc>
          <w:tcPr>
            <w:tcW w:w="931" w:type="dxa"/>
            <w:vAlign w:val="center"/>
          </w:tcPr>
          <w:p w14:paraId="2ED3B785">
            <w:pPr>
              <w:snapToGrid w:val="0"/>
              <w:jc w:val="center"/>
              <w:rPr>
                <w:color w:val="000000"/>
                <w:szCs w:val="21"/>
              </w:rPr>
            </w:pPr>
            <w:r>
              <w:rPr>
                <w:color w:val="000000"/>
                <w:szCs w:val="21"/>
              </w:rPr>
              <w:t>46</w:t>
            </w:r>
          </w:p>
        </w:tc>
        <w:tc>
          <w:tcPr>
            <w:tcW w:w="665" w:type="dxa"/>
            <w:vAlign w:val="center"/>
          </w:tcPr>
          <w:p w14:paraId="197C0E96">
            <w:pPr>
              <w:snapToGrid w:val="0"/>
              <w:jc w:val="center"/>
              <w:rPr>
                <w:color w:val="000000"/>
                <w:szCs w:val="21"/>
              </w:rPr>
            </w:pPr>
            <w:r>
              <w:rPr>
                <w:color w:val="000000"/>
                <w:szCs w:val="21"/>
              </w:rPr>
              <w:t>0.35</w:t>
            </w:r>
          </w:p>
        </w:tc>
        <w:tc>
          <w:tcPr>
            <w:tcW w:w="931" w:type="dxa"/>
            <w:vAlign w:val="center"/>
          </w:tcPr>
          <w:p w14:paraId="66CDCDA8">
            <w:pPr>
              <w:snapToGrid w:val="0"/>
              <w:jc w:val="center"/>
              <w:rPr>
                <w:color w:val="000000"/>
                <w:szCs w:val="21"/>
              </w:rPr>
            </w:pPr>
            <w:r>
              <w:rPr>
                <w:color w:val="000000"/>
                <w:szCs w:val="21"/>
              </w:rPr>
              <w:t>19</w:t>
            </w:r>
          </w:p>
        </w:tc>
        <w:tc>
          <w:tcPr>
            <w:tcW w:w="800" w:type="dxa"/>
            <w:vMerge w:val="continue"/>
            <w:vAlign w:val="center"/>
          </w:tcPr>
          <w:p w14:paraId="3601CBBE">
            <w:pPr>
              <w:snapToGrid w:val="0"/>
              <w:jc w:val="center"/>
              <w:rPr>
                <w:color w:val="000000"/>
                <w:kern w:val="0"/>
                <w:szCs w:val="21"/>
              </w:rPr>
            </w:pPr>
          </w:p>
        </w:tc>
        <w:tc>
          <w:tcPr>
            <w:tcW w:w="1112" w:type="dxa"/>
            <w:vMerge w:val="continue"/>
            <w:vAlign w:val="center"/>
          </w:tcPr>
          <w:p w14:paraId="58C9B5AB">
            <w:pPr>
              <w:snapToGrid w:val="0"/>
              <w:jc w:val="center"/>
              <w:rPr>
                <w:color w:val="000000"/>
                <w:kern w:val="0"/>
                <w:szCs w:val="21"/>
              </w:rPr>
            </w:pPr>
          </w:p>
        </w:tc>
      </w:tr>
      <w:tr w14:paraId="15EE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218ED29E">
            <w:pPr>
              <w:snapToGrid w:val="0"/>
              <w:jc w:val="center"/>
              <w:rPr>
                <w:color w:val="000000"/>
                <w:kern w:val="0"/>
                <w:szCs w:val="21"/>
              </w:rPr>
            </w:pPr>
          </w:p>
        </w:tc>
        <w:tc>
          <w:tcPr>
            <w:tcW w:w="1985" w:type="dxa"/>
            <w:vAlign w:val="center"/>
          </w:tcPr>
          <w:p w14:paraId="66B4B268">
            <w:pPr>
              <w:snapToGrid w:val="0"/>
              <w:jc w:val="center"/>
              <w:rPr>
                <w:color w:val="000000"/>
                <w:szCs w:val="21"/>
              </w:rPr>
            </w:pPr>
            <w:r>
              <w:rPr>
                <w:color w:val="000000"/>
                <w:szCs w:val="21"/>
              </w:rPr>
              <w:t>莲花山市场</w:t>
            </w:r>
          </w:p>
        </w:tc>
        <w:tc>
          <w:tcPr>
            <w:tcW w:w="1197" w:type="dxa"/>
            <w:vAlign w:val="center"/>
          </w:tcPr>
          <w:p w14:paraId="6F1C9F2B">
            <w:pPr>
              <w:snapToGrid w:val="0"/>
              <w:jc w:val="center"/>
              <w:rPr>
                <w:color w:val="000000"/>
                <w:szCs w:val="21"/>
              </w:rPr>
            </w:pPr>
            <w:r>
              <w:rPr>
                <w:color w:val="000000"/>
                <w:szCs w:val="21"/>
              </w:rPr>
              <w:t>2000</w:t>
            </w:r>
          </w:p>
        </w:tc>
        <w:tc>
          <w:tcPr>
            <w:tcW w:w="931" w:type="dxa"/>
            <w:vAlign w:val="center"/>
          </w:tcPr>
          <w:p w14:paraId="3C5D6533">
            <w:pPr>
              <w:snapToGrid w:val="0"/>
              <w:jc w:val="center"/>
              <w:rPr>
                <w:color w:val="000000"/>
                <w:szCs w:val="21"/>
              </w:rPr>
            </w:pPr>
            <w:r>
              <w:rPr>
                <w:color w:val="000000"/>
                <w:szCs w:val="21"/>
              </w:rPr>
              <w:t>40</w:t>
            </w:r>
          </w:p>
        </w:tc>
        <w:tc>
          <w:tcPr>
            <w:tcW w:w="665" w:type="dxa"/>
            <w:vAlign w:val="center"/>
          </w:tcPr>
          <w:p w14:paraId="6B6FA31B">
            <w:pPr>
              <w:snapToGrid w:val="0"/>
              <w:jc w:val="center"/>
              <w:rPr>
                <w:color w:val="000000"/>
                <w:szCs w:val="21"/>
              </w:rPr>
            </w:pPr>
            <w:r>
              <w:rPr>
                <w:color w:val="000000"/>
                <w:szCs w:val="21"/>
              </w:rPr>
              <w:t>0.35</w:t>
            </w:r>
          </w:p>
        </w:tc>
        <w:tc>
          <w:tcPr>
            <w:tcW w:w="931" w:type="dxa"/>
            <w:vAlign w:val="center"/>
          </w:tcPr>
          <w:p w14:paraId="144D055C">
            <w:pPr>
              <w:snapToGrid w:val="0"/>
              <w:jc w:val="center"/>
              <w:rPr>
                <w:color w:val="000000"/>
                <w:szCs w:val="21"/>
              </w:rPr>
            </w:pPr>
            <w:r>
              <w:rPr>
                <w:color w:val="000000"/>
                <w:szCs w:val="21"/>
              </w:rPr>
              <w:t>19</w:t>
            </w:r>
          </w:p>
        </w:tc>
        <w:tc>
          <w:tcPr>
            <w:tcW w:w="800" w:type="dxa"/>
            <w:vMerge w:val="continue"/>
            <w:vAlign w:val="center"/>
          </w:tcPr>
          <w:p w14:paraId="30CE62E2">
            <w:pPr>
              <w:snapToGrid w:val="0"/>
              <w:jc w:val="center"/>
              <w:rPr>
                <w:color w:val="000000"/>
                <w:kern w:val="0"/>
                <w:szCs w:val="21"/>
              </w:rPr>
            </w:pPr>
          </w:p>
        </w:tc>
        <w:tc>
          <w:tcPr>
            <w:tcW w:w="1112" w:type="dxa"/>
            <w:vMerge w:val="continue"/>
            <w:vAlign w:val="center"/>
          </w:tcPr>
          <w:p w14:paraId="0E805712">
            <w:pPr>
              <w:snapToGrid w:val="0"/>
              <w:jc w:val="center"/>
              <w:rPr>
                <w:color w:val="000000"/>
                <w:kern w:val="0"/>
                <w:szCs w:val="21"/>
              </w:rPr>
            </w:pPr>
          </w:p>
        </w:tc>
      </w:tr>
      <w:tr w14:paraId="473E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2B20984C">
            <w:pPr>
              <w:snapToGrid w:val="0"/>
              <w:jc w:val="center"/>
              <w:rPr>
                <w:color w:val="000000"/>
                <w:kern w:val="0"/>
                <w:szCs w:val="21"/>
              </w:rPr>
            </w:pPr>
          </w:p>
        </w:tc>
        <w:tc>
          <w:tcPr>
            <w:tcW w:w="1985" w:type="dxa"/>
            <w:vAlign w:val="center"/>
          </w:tcPr>
          <w:p w14:paraId="5B0DD525">
            <w:pPr>
              <w:snapToGrid w:val="0"/>
              <w:jc w:val="center"/>
              <w:rPr>
                <w:color w:val="000000"/>
                <w:szCs w:val="21"/>
              </w:rPr>
            </w:pPr>
            <w:r>
              <w:rPr>
                <w:color w:val="000000"/>
                <w:szCs w:val="21"/>
              </w:rPr>
              <w:t>落驾坪农贸市场</w:t>
            </w:r>
          </w:p>
        </w:tc>
        <w:tc>
          <w:tcPr>
            <w:tcW w:w="1197" w:type="dxa"/>
            <w:vAlign w:val="center"/>
          </w:tcPr>
          <w:p w14:paraId="21133B4B">
            <w:pPr>
              <w:snapToGrid w:val="0"/>
              <w:jc w:val="center"/>
              <w:rPr>
                <w:color w:val="000000"/>
                <w:szCs w:val="21"/>
              </w:rPr>
            </w:pPr>
            <w:r>
              <w:rPr>
                <w:color w:val="000000"/>
                <w:szCs w:val="21"/>
              </w:rPr>
              <w:t>1300</w:t>
            </w:r>
          </w:p>
        </w:tc>
        <w:tc>
          <w:tcPr>
            <w:tcW w:w="931" w:type="dxa"/>
            <w:vAlign w:val="center"/>
          </w:tcPr>
          <w:p w14:paraId="0567CBF3">
            <w:pPr>
              <w:snapToGrid w:val="0"/>
              <w:jc w:val="center"/>
              <w:rPr>
                <w:color w:val="000000"/>
                <w:szCs w:val="21"/>
              </w:rPr>
            </w:pPr>
            <w:r>
              <w:rPr>
                <w:color w:val="000000"/>
                <w:szCs w:val="21"/>
              </w:rPr>
              <w:t>35</w:t>
            </w:r>
          </w:p>
        </w:tc>
        <w:tc>
          <w:tcPr>
            <w:tcW w:w="665" w:type="dxa"/>
            <w:vAlign w:val="center"/>
          </w:tcPr>
          <w:p w14:paraId="4001FAC2">
            <w:pPr>
              <w:snapToGrid w:val="0"/>
              <w:jc w:val="center"/>
              <w:rPr>
                <w:color w:val="000000"/>
                <w:szCs w:val="21"/>
              </w:rPr>
            </w:pPr>
            <w:r>
              <w:rPr>
                <w:color w:val="000000"/>
                <w:szCs w:val="21"/>
              </w:rPr>
              <w:t>0.32</w:t>
            </w:r>
          </w:p>
        </w:tc>
        <w:tc>
          <w:tcPr>
            <w:tcW w:w="931" w:type="dxa"/>
            <w:vAlign w:val="center"/>
          </w:tcPr>
          <w:p w14:paraId="441DCFE7">
            <w:pPr>
              <w:snapToGrid w:val="0"/>
              <w:jc w:val="center"/>
              <w:rPr>
                <w:color w:val="000000"/>
                <w:szCs w:val="21"/>
              </w:rPr>
            </w:pPr>
            <w:r>
              <w:rPr>
                <w:color w:val="000000"/>
                <w:szCs w:val="21"/>
              </w:rPr>
              <w:t>18</w:t>
            </w:r>
          </w:p>
        </w:tc>
        <w:tc>
          <w:tcPr>
            <w:tcW w:w="800" w:type="dxa"/>
            <w:vMerge w:val="continue"/>
            <w:vAlign w:val="center"/>
          </w:tcPr>
          <w:p w14:paraId="68C14E28">
            <w:pPr>
              <w:snapToGrid w:val="0"/>
              <w:jc w:val="center"/>
              <w:rPr>
                <w:color w:val="000000"/>
                <w:kern w:val="0"/>
                <w:szCs w:val="21"/>
              </w:rPr>
            </w:pPr>
          </w:p>
        </w:tc>
        <w:tc>
          <w:tcPr>
            <w:tcW w:w="1112" w:type="dxa"/>
            <w:vMerge w:val="continue"/>
            <w:vAlign w:val="center"/>
          </w:tcPr>
          <w:p w14:paraId="057FB10F">
            <w:pPr>
              <w:snapToGrid w:val="0"/>
              <w:jc w:val="center"/>
              <w:rPr>
                <w:color w:val="000000"/>
                <w:kern w:val="0"/>
                <w:szCs w:val="21"/>
              </w:rPr>
            </w:pPr>
          </w:p>
        </w:tc>
      </w:tr>
      <w:tr w14:paraId="50D0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38589089">
            <w:pPr>
              <w:snapToGrid w:val="0"/>
              <w:jc w:val="center"/>
              <w:rPr>
                <w:color w:val="000000"/>
                <w:kern w:val="0"/>
                <w:szCs w:val="21"/>
              </w:rPr>
            </w:pPr>
          </w:p>
        </w:tc>
        <w:tc>
          <w:tcPr>
            <w:tcW w:w="1985" w:type="dxa"/>
            <w:vAlign w:val="center"/>
          </w:tcPr>
          <w:p w14:paraId="0884DB60">
            <w:pPr>
              <w:snapToGrid w:val="0"/>
              <w:jc w:val="center"/>
              <w:rPr>
                <w:color w:val="000000"/>
                <w:szCs w:val="21"/>
              </w:rPr>
            </w:pPr>
            <w:r>
              <w:rPr>
                <w:color w:val="000000"/>
                <w:szCs w:val="21"/>
              </w:rPr>
              <w:t>东升市场</w:t>
            </w:r>
          </w:p>
        </w:tc>
        <w:tc>
          <w:tcPr>
            <w:tcW w:w="1197" w:type="dxa"/>
            <w:vAlign w:val="center"/>
          </w:tcPr>
          <w:p w14:paraId="54834CAB">
            <w:pPr>
              <w:snapToGrid w:val="0"/>
              <w:jc w:val="center"/>
              <w:rPr>
                <w:color w:val="000000"/>
                <w:szCs w:val="21"/>
              </w:rPr>
            </w:pPr>
            <w:r>
              <w:rPr>
                <w:color w:val="000000"/>
                <w:szCs w:val="21"/>
              </w:rPr>
              <w:t>500</w:t>
            </w:r>
          </w:p>
        </w:tc>
        <w:tc>
          <w:tcPr>
            <w:tcW w:w="931" w:type="dxa"/>
            <w:vAlign w:val="center"/>
          </w:tcPr>
          <w:p w14:paraId="231F7010">
            <w:pPr>
              <w:snapToGrid w:val="0"/>
              <w:jc w:val="center"/>
              <w:rPr>
                <w:color w:val="000000"/>
                <w:szCs w:val="21"/>
              </w:rPr>
            </w:pPr>
            <w:r>
              <w:rPr>
                <w:color w:val="000000"/>
                <w:szCs w:val="21"/>
              </w:rPr>
              <w:t>30</w:t>
            </w:r>
          </w:p>
        </w:tc>
        <w:tc>
          <w:tcPr>
            <w:tcW w:w="665" w:type="dxa"/>
            <w:vAlign w:val="center"/>
          </w:tcPr>
          <w:p w14:paraId="1BE1F7A2">
            <w:pPr>
              <w:snapToGrid w:val="0"/>
              <w:jc w:val="center"/>
              <w:rPr>
                <w:color w:val="000000"/>
                <w:szCs w:val="21"/>
              </w:rPr>
            </w:pPr>
            <w:r>
              <w:rPr>
                <w:color w:val="000000"/>
                <w:szCs w:val="21"/>
              </w:rPr>
              <w:t>0.28</w:t>
            </w:r>
          </w:p>
        </w:tc>
        <w:tc>
          <w:tcPr>
            <w:tcW w:w="931" w:type="dxa"/>
            <w:vAlign w:val="center"/>
          </w:tcPr>
          <w:p w14:paraId="0ECDFCFF">
            <w:pPr>
              <w:snapToGrid w:val="0"/>
              <w:jc w:val="center"/>
              <w:rPr>
                <w:color w:val="000000"/>
                <w:szCs w:val="21"/>
              </w:rPr>
            </w:pPr>
            <w:r>
              <w:rPr>
                <w:color w:val="000000"/>
                <w:szCs w:val="21"/>
              </w:rPr>
              <w:t>16</w:t>
            </w:r>
          </w:p>
        </w:tc>
        <w:tc>
          <w:tcPr>
            <w:tcW w:w="800" w:type="dxa"/>
            <w:vMerge w:val="continue"/>
            <w:vAlign w:val="center"/>
          </w:tcPr>
          <w:p w14:paraId="5EC958F7">
            <w:pPr>
              <w:snapToGrid w:val="0"/>
              <w:jc w:val="center"/>
              <w:rPr>
                <w:color w:val="000000"/>
                <w:kern w:val="0"/>
                <w:szCs w:val="21"/>
              </w:rPr>
            </w:pPr>
          </w:p>
        </w:tc>
        <w:tc>
          <w:tcPr>
            <w:tcW w:w="1112" w:type="dxa"/>
            <w:vMerge w:val="continue"/>
            <w:vAlign w:val="center"/>
          </w:tcPr>
          <w:p w14:paraId="0D7671E2">
            <w:pPr>
              <w:snapToGrid w:val="0"/>
              <w:jc w:val="center"/>
              <w:rPr>
                <w:color w:val="000000"/>
                <w:kern w:val="0"/>
                <w:szCs w:val="21"/>
              </w:rPr>
            </w:pPr>
          </w:p>
        </w:tc>
      </w:tr>
      <w:tr w14:paraId="2067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10BDCC41">
            <w:pPr>
              <w:snapToGrid w:val="0"/>
              <w:jc w:val="center"/>
              <w:rPr>
                <w:color w:val="000000"/>
                <w:kern w:val="0"/>
                <w:szCs w:val="21"/>
              </w:rPr>
            </w:pPr>
          </w:p>
        </w:tc>
        <w:tc>
          <w:tcPr>
            <w:tcW w:w="1985" w:type="dxa"/>
            <w:vAlign w:val="center"/>
          </w:tcPr>
          <w:p w14:paraId="21E5B797">
            <w:pPr>
              <w:snapToGrid w:val="0"/>
              <w:jc w:val="center"/>
              <w:rPr>
                <w:color w:val="000000"/>
                <w:szCs w:val="21"/>
              </w:rPr>
            </w:pPr>
            <w:r>
              <w:rPr>
                <w:color w:val="000000"/>
                <w:szCs w:val="21"/>
              </w:rPr>
              <w:t>和馨居市场</w:t>
            </w:r>
          </w:p>
        </w:tc>
        <w:tc>
          <w:tcPr>
            <w:tcW w:w="1197" w:type="dxa"/>
            <w:vAlign w:val="center"/>
          </w:tcPr>
          <w:p w14:paraId="08602D0C">
            <w:pPr>
              <w:snapToGrid w:val="0"/>
              <w:jc w:val="center"/>
              <w:rPr>
                <w:color w:val="000000"/>
                <w:szCs w:val="21"/>
              </w:rPr>
            </w:pPr>
            <w:r>
              <w:rPr>
                <w:color w:val="000000"/>
                <w:szCs w:val="21"/>
              </w:rPr>
              <w:t>890</w:t>
            </w:r>
          </w:p>
        </w:tc>
        <w:tc>
          <w:tcPr>
            <w:tcW w:w="931" w:type="dxa"/>
            <w:vAlign w:val="center"/>
          </w:tcPr>
          <w:p w14:paraId="6EBF2DEF">
            <w:pPr>
              <w:snapToGrid w:val="0"/>
              <w:jc w:val="center"/>
              <w:rPr>
                <w:color w:val="000000"/>
                <w:szCs w:val="21"/>
              </w:rPr>
            </w:pPr>
            <w:r>
              <w:rPr>
                <w:color w:val="000000"/>
                <w:szCs w:val="21"/>
              </w:rPr>
              <w:t>28</w:t>
            </w:r>
          </w:p>
        </w:tc>
        <w:tc>
          <w:tcPr>
            <w:tcW w:w="665" w:type="dxa"/>
            <w:vAlign w:val="center"/>
          </w:tcPr>
          <w:p w14:paraId="26701F2B">
            <w:pPr>
              <w:snapToGrid w:val="0"/>
              <w:jc w:val="center"/>
              <w:rPr>
                <w:color w:val="000000"/>
                <w:szCs w:val="21"/>
              </w:rPr>
            </w:pPr>
            <w:r>
              <w:rPr>
                <w:color w:val="000000"/>
                <w:szCs w:val="21"/>
              </w:rPr>
              <w:t>0.28</w:t>
            </w:r>
          </w:p>
        </w:tc>
        <w:tc>
          <w:tcPr>
            <w:tcW w:w="931" w:type="dxa"/>
            <w:vAlign w:val="center"/>
          </w:tcPr>
          <w:p w14:paraId="4CFCD455">
            <w:pPr>
              <w:snapToGrid w:val="0"/>
              <w:jc w:val="center"/>
              <w:rPr>
                <w:color w:val="000000"/>
                <w:szCs w:val="21"/>
              </w:rPr>
            </w:pPr>
            <w:r>
              <w:rPr>
                <w:color w:val="000000"/>
                <w:szCs w:val="21"/>
              </w:rPr>
              <w:t>16</w:t>
            </w:r>
          </w:p>
        </w:tc>
        <w:tc>
          <w:tcPr>
            <w:tcW w:w="800" w:type="dxa"/>
            <w:vMerge w:val="continue"/>
            <w:vAlign w:val="center"/>
          </w:tcPr>
          <w:p w14:paraId="7CF93E59">
            <w:pPr>
              <w:snapToGrid w:val="0"/>
              <w:jc w:val="center"/>
              <w:rPr>
                <w:color w:val="000000"/>
                <w:kern w:val="0"/>
                <w:szCs w:val="21"/>
              </w:rPr>
            </w:pPr>
          </w:p>
        </w:tc>
        <w:tc>
          <w:tcPr>
            <w:tcW w:w="1112" w:type="dxa"/>
            <w:vMerge w:val="continue"/>
            <w:vAlign w:val="center"/>
          </w:tcPr>
          <w:p w14:paraId="5EABF833">
            <w:pPr>
              <w:snapToGrid w:val="0"/>
              <w:jc w:val="center"/>
              <w:rPr>
                <w:color w:val="000000"/>
                <w:kern w:val="0"/>
                <w:szCs w:val="21"/>
              </w:rPr>
            </w:pPr>
          </w:p>
        </w:tc>
      </w:tr>
      <w:tr w14:paraId="0681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5" w:type="dxa"/>
            <w:vMerge w:val="continue"/>
            <w:vAlign w:val="center"/>
          </w:tcPr>
          <w:p w14:paraId="29AB63FC">
            <w:pPr>
              <w:snapToGrid w:val="0"/>
              <w:jc w:val="center"/>
              <w:rPr>
                <w:color w:val="000000"/>
                <w:kern w:val="0"/>
                <w:szCs w:val="21"/>
              </w:rPr>
            </w:pPr>
          </w:p>
        </w:tc>
        <w:tc>
          <w:tcPr>
            <w:tcW w:w="1985" w:type="dxa"/>
            <w:vAlign w:val="center"/>
          </w:tcPr>
          <w:p w14:paraId="5323B89C">
            <w:pPr>
              <w:snapToGrid w:val="0"/>
              <w:jc w:val="center"/>
              <w:rPr>
                <w:color w:val="000000"/>
                <w:szCs w:val="21"/>
              </w:rPr>
            </w:pPr>
            <w:r>
              <w:rPr>
                <w:color w:val="000000"/>
                <w:szCs w:val="21"/>
              </w:rPr>
              <w:t>邱家咀市场</w:t>
            </w:r>
          </w:p>
        </w:tc>
        <w:tc>
          <w:tcPr>
            <w:tcW w:w="1197" w:type="dxa"/>
            <w:vAlign w:val="center"/>
          </w:tcPr>
          <w:p w14:paraId="3C059F32">
            <w:pPr>
              <w:snapToGrid w:val="0"/>
              <w:jc w:val="center"/>
              <w:rPr>
                <w:color w:val="000000"/>
                <w:kern w:val="0"/>
                <w:szCs w:val="21"/>
              </w:rPr>
            </w:pPr>
            <w:r>
              <w:rPr>
                <w:color w:val="000000"/>
                <w:szCs w:val="21"/>
              </w:rPr>
              <w:t>300</w:t>
            </w:r>
          </w:p>
        </w:tc>
        <w:tc>
          <w:tcPr>
            <w:tcW w:w="931" w:type="dxa"/>
            <w:vAlign w:val="center"/>
          </w:tcPr>
          <w:p w14:paraId="1F7092E6">
            <w:pPr>
              <w:snapToGrid w:val="0"/>
              <w:jc w:val="center"/>
              <w:rPr>
                <w:color w:val="000000"/>
                <w:szCs w:val="21"/>
              </w:rPr>
            </w:pPr>
            <w:r>
              <w:rPr>
                <w:color w:val="000000"/>
                <w:szCs w:val="21"/>
              </w:rPr>
              <w:t>21</w:t>
            </w:r>
          </w:p>
        </w:tc>
        <w:tc>
          <w:tcPr>
            <w:tcW w:w="665" w:type="dxa"/>
            <w:vAlign w:val="center"/>
          </w:tcPr>
          <w:p w14:paraId="738FCB49">
            <w:pPr>
              <w:snapToGrid w:val="0"/>
              <w:jc w:val="center"/>
              <w:rPr>
                <w:color w:val="000000"/>
                <w:szCs w:val="21"/>
              </w:rPr>
            </w:pPr>
            <w:r>
              <w:rPr>
                <w:color w:val="000000"/>
                <w:szCs w:val="21"/>
              </w:rPr>
              <w:t>0.24</w:t>
            </w:r>
          </w:p>
        </w:tc>
        <w:tc>
          <w:tcPr>
            <w:tcW w:w="931" w:type="dxa"/>
            <w:vAlign w:val="center"/>
          </w:tcPr>
          <w:p w14:paraId="7E79EF42">
            <w:pPr>
              <w:snapToGrid w:val="0"/>
              <w:jc w:val="center"/>
              <w:rPr>
                <w:color w:val="000000"/>
                <w:szCs w:val="21"/>
              </w:rPr>
            </w:pPr>
            <w:r>
              <w:rPr>
                <w:color w:val="000000"/>
                <w:szCs w:val="21"/>
              </w:rPr>
              <w:t>13</w:t>
            </w:r>
          </w:p>
        </w:tc>
        <w:tc>
          <w:tcPr>
            <w:tcW w:w="800" w:type="dxa"/>
            <w:vMerge w:val="continue"/>
            <w:vAlign w:val="center"/>
          </w:tcPr>
          <w:p w14:paraId="4FBFD5F3">
            <w:pPr>
              <w:snapToGrid w:val="0"/>
              <w:jc w:val="center"/>
              <w:rPr>
                <w:color w:val="000000"/>
                <w:kern w:val="0"/>
                <w:szCs w:val="21"/>
              </w:rPr>
            </w:pPr>
          </w:p>
        </w:tc>
        <w:tc>
          <w:tcPr>
            <w:tcW w:w="1112" w:type="dxa"/>
            <w:vMerge w:val="continue"/>
            <w:vAlign w:val="center"/>
          </w:tcPr>
          <w:p w14:paraId="347ADDAA">
            <w:pPr>
              <w:snapToGrid w:val="0"/>
              <w:jc w:val="center"/>
              <w:rPr>
                <w:color w:val="000000"/>
                <w:kern w:val="0"/>
                <w:szCs w:val="21"/>
              </w:rPr>
            </w:pPr>
          </w:p>
        </w:tc>
      </w:tr>
    </w:tbl>
    <w:p w14:paraId="555E99B5">
      <w:pPr>
        <w:pStyle w:val="4"/>
        <w:widowControl w:val="0"/>
        <w:tabs>
          <w:tab w:val="left" w:pos="720"/>
        </w:tabs>
        <w:spacing w:before="120" w:after="120" w:line="500" w:lineRule="exact"/>
        <w:ind w:left="826" w:hanging="826"/>
        <w:jc w:val="both"/>
        <w:rPr>
          <w:rFonts w:ascii="宋体" w:hAnsi="宋体"/>
          <w:sz w:val="24"/>
          <w:szCs w:val="24"/>
        </w:rPr>
      </w:pPr>
      <w:bookmarkStart w:id="131" w:name="_Toc47384614"/>
      <w:bookmarkStart w:id="132" w:name="_Toc533505937"/>
      <w:bookmarkStart w:id="133" w:name="_Toc535399923"/>
      <w:bookmarkStart w:id="134" w:name="_Toc534833346"/>
      <w:r>
        <w:rPr>
          <w:rFonts w:hint="eastAsia" w:ascii="宋体" w:hAnsi="宋体"/>
          <w:sz w:val="24"/>
          <w:szCs w:val="24"/>
        </w:rPr>
        <w:t>3</w:t>
      </w:r>
      <w:r>
        <w:rPr>
          <w:rFonts w:ascii="宋体" w:hAnsi="宋体"/>
          <w:sz w:val="24"/>
          <w:szCs w:val="24"/>
        </w:rPr>
        <w:t>.3.9 道路通达度</w:t>
      </w:r>
      <w:bookmarkEnd w:id="131"/>
      <w:bookmarkEnd w:id="132"/>
      <w:bookmarkEnd w:id="133"/>
      <w:bookmarkEnd w:id="134"/>
    </w:p>
    <w:p w14:paraId="5BB3D09D">
      <w:pPr>
        <w:pStyle w:val="180"/>
        <w:ind w:firstLine="480"/>
      </w:pPr>
      <w:r>
        <w:rPr>
          <w:rFonts w:hint="eastAsia"/>
        </w:rPr>
        <w:t>（1）</w:t>
      </w:r>
      <w:r>
        <w:t>道路等级的划分</w:t>
      </w:r>
    </w:p>
    <w:p w14:paraId="5AF8604C">
      <w:pPr>
        <w:pStyle w:val="12"/>
        <w:spacing w:line="500" w:lineRule="exact"/>
        <w:ind w:firstLine="480" w:firstLineChars="200"/>
        <w:rPr>
          <w:rFonts w:ascii="Times New Roman" w:hAnsi="Times New Roman" w:cs="Times New Roman"/>
          <w:sz w:val="24"/>
          <w:szCs w:val="24"/>
        </w:rPr>
      </w:pPr>
      <w:r>
        <w:rPr>
          <w:rFonts w:ascii="Times New Roman" w:hAnsi="Times New Roman" w:cs="Times New Roman"/>
          <w:sz w:val="24"/>
          <w:szCs w:val="24"/>
        </w:rPr>
        <w:t>道路依据道路宽度、车道数和道路在城镇交通中的地位和作用划分。市区道路类型按其功能和等级组合分为：混合型主干道、生活型主干道、交通型主干道、生活型次干道、支路。混合型主干道指主要客货运输线；生活型主干道指主要以客运为主的道路；生活型次干道指联系城市生活型主干道之间的道路；交通型主干道指主要以货运和过境为主的道路；支路指各街坊之间的联系道路。</w:t>
      </w:r>
    </w:p>
    <w:p w14:paraId="2DE8BB0E">
      <w:pPr>
        <w:pStyle w:val="180"/>
        <w:ind w:firstLine="480"/>
      </w:pPr>
      <w:r>
        <w:rPr>
          <w:rFonts w:hint="eastAsia"/>
        </w:rPr>
        <w:t>（2）</w:t>
      </w:r>
      <w:r>
        <w:t>各级道路功能分确定</w:t>
      </w:r>
    </w:p>
    <w:p w14:paraId="522EEA12">
      <w:pPr>
        <w:pStyle w:val="12"/>
        <w:spacing w:line="500" w:lineRule="exact"/>
        <w:ind w:firstLine="480" w:firstLineChars="200"/>
        <w:rPr>
          <w:rFonts w:ascii="Times New Roman" w:hAnsi="Times New Roman" w:cs="Times New Roman"/>
          <w:sz w:val="24"/>
          <w:szCs w:val="24"/>
        </w:rPr>
      </w:pPr>
      <w:r>
        <w:rPr>
          <w:rFonts w:ascii="Times New Roman" w:hAnsi="Times New Roman" w:cs="Times New Roman"/>
          <w:sz w:val="24"/>
          <w:szCs w:val="24"/>
        </w:rPr>
        <w:t>不同类型道路对</w:t>
      </w:r>
      <w:r>
        <w:rPr>
          <w:rFonts w:ascii="宋体" w:hAnsi="宋体"/>
          <w:sz w:val="24"/>
          <w:szCs w:val="24"/>
        </w:rPr>
        <w:t>国有农用地</w:t>
      </w:r>
      <w:r>
        <w:rPr>
          <w:rFonts w:ascii="Times New Roman" w:hAnsi="Times New Roman" w:cs="Times New Roman"/>
          <w:sz w:val="24"/>
          <w:szCs w:val="24"/>
        </w:rPr>
        <w:t>的影响不同，在确定道路功能分和影响半径时按照三类用地和综合定级影响，结合《规程》的具体要求分别计算。</w:t>
      </w:r>
    </w:p>
    <w:p w14:paraId="24CF9479">
      <w:pPr>
        <w:pStyle w:val="12"/>
        <w:spacing w:line="500" w:lineRule="exact"/>
        <w:ind w:firstLine="480" w:firstLineChars="200"/>
        <w:rPr>
          <w:rFonts w:ascii="Times New Roman" w:hAnsi="Times New Roman" w:cs="Times New Roman"/>
          <w:sz w:val="24"/>
          <w:szCs w:val="24"/>
        </w:rPr>
      </w:pPr>
      <w:r>
        <w:rPr>
          <w:rFonts w:ascii="Times New Roman" w:hAnsi="Times New Roman" w:cs="Times New Roman"/>
          <w:sz w:val="24"/>
          <w:szCs w:val="24"/>
        </w:rPr>
        <w:t>1）道路作用指数计算</w:t>
      </w:r>
    </w:p>
    <w:p w14:paraId="13DB1411">
      <w:pPr>
        <w:pStyle w:val="122"/>
        <w:spacing w:line="500" w:lineRule="exact"/>
        <w:ind w:firstLine="480"/>
        <w:rPr>
          <w:rFonts w:ascii="Times New Roman" w:hAnsi="Times New Roman" w:cs="Times New Roman"/>
          <w:sz w:val="24"/>
          <w:szCs w:val="24"/>
        </w:rPr>
      </w:pPr>
      <w:r>
        <w:rPr>
          <w:rFonts w:ascii="Times New Roman" w:hAnsi="Times New Roman" w:cs="Times New Roman"/>
          <w:sz w:val="24"/>
          <w:szCs w:val="24"/>
        </w:rPr>
        <w:t>先划分鄂州市内各道路的类型，求取各类型道路的平均作用指数。</w:t>
      </w:r>
    </w:p>
    <w:p w14:paraId="0D8FC491">
      <w:pPr>
        <w:pStyle w:val="12"/>
        <w:spacing w:line="500" w:lineRule="exact"/>
        <w:ind w:firstLine="480" w:firstLineChars="200"/>
        <w:rPr>
          <w:rFonts w:ascii="Times New Roman" w:hAnsi="Times New Roman" w:cs="Times New Roman"/>
          <w:sz w:val="24"/>
          <w:szCs w:val="24"/>
        </w:rPr>
      </w:pPr>
      <w:r>
        <w:rPr>
          <w:rFonts w:ascii="Times New Roman" w:hAnsi="Times New Roman" w:cs="Times New Roman"/>
          <w:sz w:val="24"/>
          <w:szCs w:val="24"/>
        </w:rPr>
        <w:t>2）道路功能分计算</w:t>
      </w:r>
    </w:p>
    <w:p w14:paraId="5F26DB67">
      <w:pPr>
        <w:pStyle w:val="12"/>
        <w:spacing w:line="500" w:lineRule="exact"/>
        <w:ind w:firstLine="480" w:firstLineChars="200"/>
        <w:rPr>
          <w:rFonts w:ascii="Times New Roman" w:hAnsi="Times New Roman" w:cs="Times New Roman"/>
          <w:sz w:val="24"/>
          <w:szCs w:val="24"/>
        </w:rPr>
      </w:pPr>
      <w:r>
        <w:rPr>
          <w:rFonts w:ascii="Times New Roman" w:hAnsi="Times New Roman" w:cs="Times New Roman"/>
          <w:sz w:val="24"/>
          <w:szCs w:val="24"/>
        </w:rPr>
        <w:t>根据平均作用指数，赋予对应的功能分，某级道路功能分计算为：</w:t>
      </w:r>
    </w:p>
    <w:p w14:paraId="43921B89">
      <w:pPr>
        <w:pStyle w:val="82"/>
        <w:spacing w:line="500" w:lineRule="exact"/>
        <w:ind w:firstLine="200"/>
        <w:rPr>
          <w:sz w:val="24"/>
          <w:szCs w:val="24"/>
        </w:rPr>
      </w:pPr>
      <w:r>
        <w:rPr>
          <w:position w:val="-12"/>
          <w:sz w:val="24"/>
          <w:szCs w:val="24"/>
        </w:rPr>
        <w:object>
          <v:shape id="_x0000_i1047" o:spt="75" type="#_x0000_t75" style="height:18.75pt;width:59.25pt;" o:ole="t" filled="f" o:preferrelative="t" stroked="f" coordsize="21600,21600">
            <v:path/>
            <v:fill on="f" focussize="0,0"/>
            <v:stroke on="f" joinstyle="miter"/>
            <v:imagedata r:id="rId55" o:title=""/>
            <o:lock v:ext="edit" aspectratio="t"/>
            <w10:wrap type="none"/>
            <w10:anchorlock/>
          </v:shape>
          <o:OLEObject Type="Embed" ProgID="Equation.DSMT4" ShapeID="_x0000_i1047" DrawAspect="Content" ObjectID="_1468075747" r:id="rId54">
            <o:LockedField>false</o:LockedField>
          </o:OLEObject>
        </w:object>
      </w:r>
    </w:p>
    <w:p w14:paraId="2BA09C4F">
      <w:pPr>
        <w:pStyle w:val="12"/>
        <w:spacing w:line="500" w:lineRule="exact"/>
        <w:ind w:firstLine="200"/>
        <w:rPr>
          <w:rFonts w:ascii="Times New Roman" w:hAnsi="Times New Roman" w:cs="Times New Roman"/>
          <w:sz w:val="24"/>
          <w:szCs w:val="24"/>
        </w:rPr>
      </w:pPr>
      <w:r>
        <w:rPr>
          <w:rFonts w:ascii="Times New Roman" w:hAnsi="Times New Roman" w:cs="Times New Roman"/>
          <w:sz w:val="24"/>
          <w:szCs w:val="24"/>
        </w:rPr>
        <w:t>式中：F</w:t>
      </w:r>
      <w:r>
        <w:rPr>
          <w:rFonts w:ascii="Times New Roman" w:hAnsi="Times New Roman" w:cs="Times New Roman"/>
          <w:sz w:val="24"/>
          <w:szCs w:val="24"/>
          <w:vertAlign w:val="subscript"/>
        </w:rPr>
        <w:t xml:space="preserve">i </w:t>
      </w:r>
      <w:r>
        <w:rPr>
          <w:rFonts w:ascii="Times New Roman" w:hAnsi="Times New Roman" w:cs="Times New Roman"/>
          <w:sz w:val="24"/>
          <w:szCs w:val="24"/>
        </w:rPr>
        <w:t xml:space="preserve"> — i级道路的功能分；</w:t>
      </w:r>
    </w:p>
    <w:p w14:paraId="1F9F6DD2">
      <w:pPr>
        <w:pStyle w:val="12"/>
        <w:spacing w:line="500" w:lineRule="exact"/>
        <w:ind w:firstLine="1200" w:firstLineChars="500"/>
        <w:rPr>
          <w:rFonts w:ascii="Times New Roman" w:hAnsi="Times New Roman" w:cs="Times New Roman"/>
          <w:sz w:val="24"/>
          <w:szCs w:val="24"/>
        </w:rPr>
      </w:pPr>
      <w:r>
        <w:rPr>
          <w:rFonts w:ascii="Times New Roman" w:hAnsi="Times New Roman" w:cs="Times New Roman"/>
          <w:i/>
          <w:sz w:val="24"/>
          <w:szCs w:val="24"/>
        </w:rPr>
        <w:t>s</w:t>
      </w:r>
      <w:r>
        <w:rPr>
          <w:rFonts w:ascii="Times New Roman" w:hAnsi="Times New Roman" w:cs="Times New Roman"/>
          <w:i/>
          <w:sz w:val="24"/>
          <w:szCs w:val="24"/>
          <w:vertAlign w:val="subscript"/>
        </w:rPr>
        <w:t>i</w:t>
      </w:r>
      <w:r>
        <w:rPr>
          <w:rFonts w:ascii="Times New Roman" w:hAnsi="Times New Roman" w:cs="Times New Roman"/>
          <w:sz w:val="24"/>
          <w:szCs w:val="24"/>
        </w:rPr>
        <w:t xml:space="preserve">  — i级道路作用指数。</w:t>
      </w:r>
    </w:p>
    <w:p w14:paraId="6FD4F473">
      <w:pPr>
        <w:pStyle w:val="180"/>
        <w:ind w:firstLine="480"/>
      </w:pPr>
      <w:r>
        <w:rPr>
          <w:rFonts w:hint="eastAsia"/>
        </w:rPr>
        <w:t>（3）</w:t>
      </w:r>
      <w:r>
        <w:t>道路影响距离计算</w:t>
      </w:r>
    </w:p>
    <w:p w14:paraId="58BCC174">
      <w:pPr>
        <w:pStyle w:val="12"/>
        <w:spacing w:line="500" w:lineRule="exact"/>
        <w:ind w:firstLine="480" w:firstLineChars="200"/>
        <w:rPr>
          <w:rFonts w:ascii="Times New Roman" w:hAnsi="Times New Roman" w:cs="Times New Roman"/>
          <w:sz w:val="24"/>
          <w:szCs w:val="24"/>
        </w:rPr>
      </w:pPr>
      <w:r>
        <w:rPr>
          <w:rFonts w:ascii="Times New Roman" w:hAnsi="Times New Roman" w:cs="Times New Roman"/>
          <w:sz w:val="24"/>
          <w:szCs w:val="24"/>
        </w:rPr>
        <w:t>道路属于线状定级因子，其服务半径采用线状因子计算公式</w:t>
      </w:r>
      <w:r>
        <w:rPr>
          <w:rFonts w:ascii="Times New Roman" w:hAnsi="Times New Roman" w:cs="Times New Roman"/>
          <w:i/>
          <w:sz w:val="24"/>
          <w:szCs w:val="24"/>
        </w:rPr>
        <w:t>D=S/2L</w:t>
      </w:r>
      <w:r>
        <w:rPr>
          <w:rFonts w:ascii="Times New Roman" w:hAnsi="Times New Roman" w:cs="Times New Roman"/>
          <w:sz w:val="24"/>
          <w:szCs w:val="24"/>
        </w:rPr>
        <w:t>计算。先计算出不同级别道路的总长度，然后得到不同级别道路的作用半径。</w:t>
      </w:r>
    </w:p>
    <w:p w14:paraId="4A9E7C1F">
      <w:pPr>
        <w:pStyle w:val="12"/>
        <w:spacing w:line="500" w:lineRule="exact"/>
        <w:ind w:firstLine="480" w:firstLineChars="200"/>
        <w:rPr>
          <w:rFonts w:ascii="Times New Roman" w:hAnsi="Times New Roman" w:cs="Times New Roman"/>
          <w:sz w:val="24"/>
          <w:szCs w:val="24"/>
        </w:rPr>
      </w:pPr>
      <w:r>
        <w:rPr>
          <w:rFonts w:ascii="Times New Roman" w:hAnsi="Times New Roman" w:cs="Times New Roman"/>
          <w:sz w:val="24"/>
          <w:szCs w:val="24"/>
        </w:rPr>
        <w:t>式中：</w:t>
      </w:r>
      <w:r>
        <w:rPr>
          <w:rFonts w:ascii="Times New Roman" w:hAnsi="Times New Roman" w:cs="Times New Roman"/>
          <w:i/>
          <w:sz w:val="24"/>
          <w:szCs w:val="24"/>
        </w:rPr>
        <w:t>D</w:t>
      </w:r>
      <w:r>
        <w:rPr>
          <w:rFonts w:ascii="Times New Roman" w:hAnsi="Times New Roman" w:cs="Times New Roman"/>
          <w:sz w:val="24"/>
          <w:szCs w:val="24"/>
        </w:rPr>
        <w:t>—主干道或次干道影响距离；</w:t>
      </w:r>
    </w:p>
    <w:p w14:paraId="6D93414F">
      <w:pPr>
        <w:pStyle w:val="12"/>
        <w:spacing w:line="500" w:lineRule="exact"/>
        <w:ind w:firstLine="1200" w:firstLineChars="500"/>
        <w:rPr>
          <w:rFonts w:ascii="Times New Roman" w:hAnsi="Times New Roman" w:cs="Times New Roman"/>
          <w:sz w:val="24"/>
          <w:szCs w:val="24"/>
        </w:rPr>
      </w:pPr>
      <w:r>
        <w:rPr>
          <w:rFonts w:ascii="Times New Roman" w:hAnsi="Times New Roman" w:cs="Times New Roman"/>
          <w:i/>
          <w:sz w:val="24"/>
          <w:szCs w:val="24"/>
        </w:rPr>
        <w:t>S</w:t>
      </w:r>
      <w:r>
        <w:rPr>
          <w:rFonts w:ascii="Times New Roman" w:hAnsi="Times New Roman" w:cs="Times New Roman"/>
          <w:sz w:val="24"/>
          <w:szCs w:val="24"/>
        </w:rPr>
        <w:t>—城镇建设用地面积或评估范围面积；</w:t>
      </w:r>
    </w:p>
    <w:p w14:paraId="34A4E45B">
      <w:pPr>
        <w:pStyle w:val="12"/>
        <w:spacing w:line="500" w:lineRule="exact"/>
        <w:ind w:firstLine="1200" w:firstLineChars="500"/>
        <w:rPr>
          <w:rFonts w:ascii="Times New Roman" w:hAnsi="Times New Roman" w:cs="Times New Roman"/>
          <w:sz w:val="24"/>
          <w:szCs w:val="24"/>
        </w:rPr>
      </w:pPr>
      <w:r>
        <w:rPr>
          <w:rFonts w:ascii="Times New Roman" w:hAnsi="Times New Roman" w:cs="Times New Roman"/>
          <w:i/>
          <w:sz w:val="24"/>
          <w:szCs w:val="24"/>
        </w:rPr>
        <w:t>L</w:t>
      </w:r>
      <w:r>
        <w:rPr>
          <w:rFonts w:ascii="Times New Roman" w:hAnsi="Times New Roman" w:cs="Times New Roman"/>
          <w:sz w:val="24"/>
          <w:szCs w:val="24"/>
        </w:rPr>
        <w:t>—主干道或次干道总长度</w:t>
      </w:r>
      <w:r>
        <w:rPr>
          <w:rFonts w:ascii="Times New Roman" w:hAnsi="Times New Roman" w:cs="Times New Roman"/>
          <w:i/>
          <w:sz w:val="24"/>
          <w:szCs w:val="24"/>
        </w:rPr>
        <w:t>。</w:t>
      </w:r>
    </w:p>
    <w:p w14:paraId="38079E26">
      <w:pPr>
        <w:pStyle w:val="180"/>
        <w:ind w:firstLine="480"/>
      </w:pPr>
      <w:r>
        <w:rPr>
          <w:rFonts w:hint="eastAsia"/>
        </w:rPr>
        <w:t>（四）</w:t>
      </w:r>
      <w:r>
        <w:t>道路通达度指标计算结果</w:t>
      </w:r>
    </w:p>
    <w:p w14:paraId="54E743D2">
      <w:pPr>
        <w:pStyle w:val="12"/>
        <w:spacing w:line="500" w:lineRule="exact"/>
        <w:ind w:firstLine="200"/>
        <w:rPr>
          <w:rFonts w:ascii="Times New Roman" w:hAnsi="Times New Roman" w:cs="Times New Roman"/>
          <w:sz w:val="24"/>
          <w:szCs w:val="24"/>
        </w:rPr>
      </w:pPr>
      <w:r>
        <w:rPr>
          <w:rFonts w:ascii="Times New Roman" w:hAnsi="Times New Roman" w:cs="Times New Roman"/>
          <w:sz w:val="24"/>
          <w:szCs w:val="24"/>
        </w:rPr>
        <w:t>根据以上公式处理，道路通达度指标结果见表3-12。</w:t>
      </w:r>
    </w:p>
    <w:p w14:paraId="20ACEB1D">
      <w:pPr>
        <w:spacing w:before="156" w:beforeLines="50"/>
        <w:ind w:firstLine="422"/>
        <w:jc w:val="center"/>
        <w:rPr>
          <w:b/>
          <w:szCs w:val="21"/>
        </w:rPr>
      </w:pPr>
      <w:r>
        <w:rPr>
          <w:b/>
          <w:szCs w:val="21"/>
        </w:rPr>
        <w:t>表3-12道路划分依据</w:t>
      </w:r>
    </w:p>
    <w:tbl>
      <w:tblPr>
        <w:tblStyle w:val="39"/>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9"/>
        <w:gridCol w:w="1450"/>
        <w:gridCol w:w="1747"/>
        <w:gridCol w:w="2953"/>
        <w:gridCol w:w="1105"/>
      </w:tblGrid>
      <w:tr w14:paraId="2E7D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579" w:type="dxa"/>
            <w:vAlign w:val="center"/>
          </w:tcPr>
          <w:p w14:paraId="6FDAFE21">
            <w:pPr>
              <w:jc w:val="center"/>
              <w:rPr>
                <w:b/>
                <w:kern w:val="0"/>
                <w:szCs w:val="21"/>
              </w:rPr>
            </w:pPr>
            <w:r>
              <w:rPr>
                <w:b/>
                <w:kern w:val="0"/>
                <w:szCs w:val="21"/>
              </w:rPr>
              <w:t>道路类型</w:t>
            </w:r>
          </w:p>
        </w:tc>
        <w:tc>
          <w:tcPr>
            <w:tcW w:w="1450" w:type="dxa"/>
            <w:vAlign w:val="center"/>
          </w:tcPr>
          <w:p w14:paraId="44BD597F">
            <w:pPr>
              <w:jc w:val="center"/>
              <w:rPr>
                <w:b/>
                <w:kern w:val="0"/>
                <w:szCs w:val="21"/>
              </w:rPr>
            </w:pPr>
            <w:r>
              <w:rPr>
                <w:b/>
                <w:kern w:val="0"/>
                <w:szCs w:val="21"/>
              </w:rPr>
              <w:t>红线宽度（m）</w:t>
            </w:r>
          </w:p>
        </w:tc>
        <w:tc>
          <w:tcPr>
            <w:tcW w:w="1747" w:type="dxa"/>
            <w:vAlign w:val="center"/>
          </w:tcPr>
          <w:p w14:paraId="22766FB0">
            <w:pPr>
              <w:jc w:val="center"/>
              <w:rPr>
                <w:b/>
                <w:kern w:val="0"/>
                <w:szCs w:val="21"/>
              </w:rPr>
            </w:pPr>
            <w:r>
              <w:rPr>
                <w:b/>
                <w:kern w:val="0"/>
                <w:szCs w:val="21"/>
              </w:rPr>
              <w:t>车行道宽度（m）</w:t>
            </w:r>
          </w:p>
        </w:tc>
        <w:tc>
          <w:tcPr>
            <w:tcW w:w="2953" w:type="dxa"/>
            <w:vAlign w:val="center"/>
          </w:tcPr>
          <w:p w14:paraId="58F7235D">
            <w:pPr>
              <w:jc w:val="center"/>
              <w:rPr>
                <w:b/>
                <w:kern w:val="0"/>
                <w:szCs w:val="21"/>
              </w:rPr>
            </w:pPr>
            <w:r>
              <w:rPr>
                <w:b/>
                <w:kern w:val="0"/>
                <w:szCs w:val="21"/>
              </w:rPr>
              <w:t>通行车辆主要类型</w:t>
            </w:r>
          </w:p>
        </w:tc>
        <w:tc>
          <w:tcPr>
            <w:tcW w:w="1105" w:type="dxa"/>
            <w:vAlign w:val="center"/>
          </w:tcPr>
          <w:p w14:paraId="6A9D44FE">
            <w:pPr>
              <w:jc w:val="center"/>
              <w:rPr>
                <w:b/>
                <w:kern w:val="0"/>
                <w:szCs w:val="21"/>
              </w:rPr>
            </w:pPr>
            <w:r>
              <w:rPr>
                <w:b/>
                <w:kern w:val="0"/>
                <w:szCs w:val="21"/>
              </w:rPr>
              <w:t>车速（km/h）</w:t>
            </w:r>
          </w:p>
        </w:tc>
      </w:tr>
      <w:tr w14:paraId="1D77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579" w:type="dxa"/>
            <w:vAlign w:val="center"/>
          </w:tcPr>
          <w:p w14:paraId="0BF5384F">
            <w:pPr>
              <w:jc w:val="center"/>
              <w:rPr>
                <w:kern w:val="0"/>
                <w:szCs w:val="21"/>
              </w:rPr>
            </w:pPr>
            <w:r>
              <w:rPr>
                <w:kern w:val="0"/>
                <w:szCs w:val="21"/>
              </w:rPr>
              <w:t>混合型主干道</w:t>
            </w:r>
          </w:p>
        </w:tc>
        <w:tc>
          <w:tcPr>
            <w:tcW w:w="1450" w:type="dxa"/>
            <w:vAlign w:val="center"/>
          </w:tcPr>
          <w:p w14:paraId="3EF3F0F8">
            <w:pPr>
              <w:jc w:val="center"/>
              <w:rPr>
                <w:kern w:val="0"/>
                <w:szCs w:val="21"/>
              </w:rPr>
            </w:pPr>
            <w:r>
              <w:rPr>
                <w:kern w:val="0"/>
                <w:szCs w:val="21"/>
              </w:rPr>
              <w:t>≥60</w:t>
            </w:r>
          </w:p>
        </w:tc>
        <w:tc>
          <w:tcPr>
            <w:tcW w:w="1747" w:type="dxa"/>
            <w:vAlign w:val="center"/>
          </w:tcPr>
          <w:p w14:paraId="035EC06E">
            <w:pPr>
              <w:jc w:val="center"/>
              <w:rPr>
                <w:kern w:val="0"/>
                <w:szCs w:val="21"/>
              </w:rPr>
            </w:pPr>
            <w:r>
              <w:rPr>
                <w:kern w:val="0"/>
                <w:szCs w:val="21"/>
              </w:rPr>
              <w:t>≥24</w:t>
            </w:r>
          </w:p>
        </w:tc>
        <w:tc>
          <w:tcPr>
            <w:tcW w:w="2953" w:type="dxa"/>
            <w:vAlign w:val="center"/>
          </w:tcPr>
          <w:p w14:paraId="6C0D2242">
            <w:pPr>
              <w:jc w:val="center"/>
              <w:rPr>
                <w:kern w:val="0"/>
                <w:szCs w:val="21"/>
              </w:rPr>
            </w:pPr>
            <w:r>
              <w:rPr>
                <w:kern w:val="0"/>
                <w:szCs w:val="21"/>
              </w:rPr>
              <w:t>客、货机动车、过境车辆</w:t>
            </w:r>
          </w:p>
        </w:tc>
        <w:tc>
          <w:tcPr>
            <w:tcW w:w="1105" w:type="dxa"/>
            <w:vAlign w:val="center"/>
          </w:tcPr>
          <w:p w14:paraId="25489933">
            <w:pPr>
              <w:jc w:val="center"/>
              <w:rPr>
                <w:kern w:val="0"/>
                <w:szCs w:val="21"/>
              </w:rPr>
            </w:pPr>
            <w:r>
              <w:rPr>
                <w:kern w:val="0"/>
                <w:szCs w:val="21"/>
              </w:rPr>
              <w:t>≥60</w:t>
            </w:r>
          </w:p>
        </w:tc>
      </w:tr>
      <w:tr w14:paraId="0CA8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579" w:type="dxa"/>
            <w:vAlign w:val="center"/>
          </w:tcPr>
          <w:p w14:paraId="387EFB1E">
            <w:pPr>
              <w:jc w:val="center"/>
              <w:rPr>
                <w:kern w:val="0"/>
                <w:szCs w:val="21"/>
              </w:rPr>
            </w:pPr>
            <w:r>
              <w:rPr>
                <w:kern w:val="0"/>
                <w:szCs w:val="21"/>
              </w:rPr>
              <w:t>生活型主干道</w:t>
            </w:r>
          </w:p>
        </w:tc>
        <w:tc>
          <w:tcPr>
            <w:tcW w:w="1450" w:type="dxa"/>
            <w:vAlign w:val="center"/>
          </w:tcPr>
          <w:p w14:paraId="7D9B993D">
            <w:pPr>
              <w:jc w:val="center"/>
              <w:rPr>
                <w:kern w:val="0"/>
                <w:szCs w:val="21"/>
              </w:rPr>
            </w:pPr>
            <w:r>
              <w:rPr>
                <w:kern w:val="0"/>
                <w:szCs w:val="21"/>
              </w:rPr>
              <w:t>≥30</w:t>
            </w:r>
          </w:p>
        </w:tc>
        <w:tc>
          <w:tcPr>
            <w:tcW w:w="1747" w:type="dxa"/>
            <w:vAlign w:val="center"/>
          </w:tcPr>
          <w:p w14:paraId="6C863E07">
            <w:pPr>
              <w:jc w:val="center"/>
              <w:rPr>
                <w:kern w:val="0"/>
                <w:szCs w:val="21"/>
              </w:rPr>
            </w:pPr>
            <w:r>
              <w:rPr>
                <w:kern w:val="0"/>
                <w:szCs w:val="21"/>
              </w:rPr>
              <w:t>≥18</w:t>
            </w:r>
          </w:p>
        </w:tc>
        <w:tc>
          <w:tcPr>
            <w:tcW w:w="2953" w:type="dxa"/>
            <w:vAlign w:val="center"/>
          </w:tcPr>
          <w:p w14:paraId="29BED329">
            <w:pPr>
              <w:jc w:val="center"/>
              <w:rPr>
                <w:kern w:val="0"/>
                <w:szCs w:val="21"/>
              </w:rPr>
            </w:pPr>
            <w:r>
              <w:rPr>
                <w:kern w:val="0"/>
                <w:szCs w:val="21"/>
              </w:rPr>
              <w:t>各种客运车辆、摩托车</w:t>
            </w:r>
          </w:p>
        </w:tc>
        <w:tc>
          <w:tcPr>
            <w:tcW w:w="1105" w:type="dxa"/>
            <w:vAlign w:val="center"/>
          </w:tcPr>
          <w:p w14:paraId="52925B11">
            <w:pPr>
              <w:jc w:val="center"/>
              <w:rPr>
                <w:kern w:val="0"/>
                <w:szCs w:val="21"/>
              </w:rPr>
            </w:pPr>
            <w:r>
              <w:rPr>
                <w:kern w:val="0"/>
                <w:szCs w:val="21"/>
              </w:rPr>
              <w:t>≥40</w:t>
            </w:r>
          </w:p>
        </w:tc>
      </w:tr>
      <w:tr w14:paraId="0239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579" w:type="dxa"/>
            <w:vAlign w:val="center"/>
          </w:tcPr>
          <w:p w14:paraId="51262ED6">
            <w:pPr>
              <w:jc w:val="center"/>
              <w:rPr>
                <w:kern w:val="0"/>
                <w:szCs w:val="21"/>
              </w:rPr>
            </w:pPr>
            <w:r>
              <w:rPr>
                <w:kern w:val="0"/>
                <w:szCs w:val="21"/>
              </w:rPr>
              <w:t>交通型主干道</w:t>
            </w:r>
          </w:p>
        </w:tc>
        <w:tc>
          <w:tcPr>
            <w:tcW w:w="1450" w:type="dxa"/>
            <w:vAlign w:val="center"/>
          </w:tcPr>
          <w:p w14:paraId="19DAC1F5">
            <w:pPr>
              <w:jc w:val="center"/>
              <w:rPr>
                <w:kern w:val="0"/>
                <w:szCs w:val="21"/>
              </w:rPr>
            </w:pPr>
            <w:r>
              <w:rPr>
                <w:kern w:val="0"/>
                <w:szCs w:val="21"/>
              </w:rPr>
              <w:t>≥40</w:t>
            </w:r>
          </w:p>
        </w:tc>
        <w:tc>
          <w:tcPr>
            <w:tcW w:w="1747" w:type="dxa"/>
            <w:vAlign w:val="center"/>
          </w:tcPr>
          <w:p w14:paraId="7CFCBC37">
            <w:pPr>
              <w:jc w:val="center"/>
              <w:rPr>
                <w:kern w:val="0"/>
                <w:szCs w:val="21"/>
              </w:rPr>
            </w:pPr>
            <w:r>
              <w:rPr>
                <w:kern w:val="0"/>
                <w:szCs w:val="21"/>
              </w:rPr>
              <w:t>≥24</w:t>
            </w:r>
          </w:p>
        </w:tc>
        <w:tc>
          <w:tcPr>
            <w:tcW w:w="2953" w:type="dxa"/>
            <w:vAlign w:val="center"/>
          </w:tcPr>
          <w:p w14:paraId="2A5DFF03">
            <w:pPr>
              <w:jc w:val="center"/>
              <w:rPr>
                <w:kern w:val="0"/>
                <w:szCs w:val="21"/>
              </w:rPr>
            </w:pPr>
            <w:r>
              <w:rPr>
                <w:kern w:val="0"/>
                <w:szCs w:val="21"/>
              </w:rPr>
              <w:t>各种货运车辆、过境车辆</w:t>
            </w:r>
          </w:p>
        </w:tc>
        <w:tc>
          <w:tcPr>
            <w:tcW w:w="1105" w:type="dxa"/>
            <w:vAlign w:val="center"/>
          </w:tcPr>
          <w:p w14:paraId="71F9804B">
            <w:pPr>
              <w:jc w:val="center"/>
              <w:rPr>
                <w:kern w:val="0"/>
                <w:szCs w:val="21"/>
              </w:rPr>
            </w:pPr>
            <w:r>
              <w:rPr>
                <w:kern w:val="0"/>
                <w:szCs w:val="21"/>
              </w:rPr>
              <w:t>≥40</w:t>
            </w:r>
          </w:p>
        </w:tc>
      </w:tr>
      <w:tr w14:paraId="35FD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579" w:type="dxa"/>
            <w:vAlign w:val="center"/>
          </w:tcPr>
          <w:p w14:paraId="4EF1D38D">
            <w:pPr>
              <w:jc w:val="center"/>
              <w:rPr>
                <w:kern w:val="0"/>
                <w:szCs w:val="21"/>
              </w:rPr>
            </w:pPr>
            <w:r>
              <w:rPr>
                <w:kern w:val="0"/>
                <w:szCs w:val="21"/>
              </w:rPr>
              <w:t>生活型次干道</w:t>
            </w:r>
          </w:p>
        </w:tc>
        <w:tc>
          <w:tcPr>
            <w:tcW w:w="1450" w:type="dxa"/>
            <w:vAlign w:val="center"/>
          </w:tcPr>
          <w:p w14:paraId="2A36307E">
            <w:pPr>
              <w:jc w:val="center"/>
              <w:rPr>
                <w:kern w:val="0"/>
                <w:szCs w:val="21"/>
              </w:rPr>
            </w:pPr>
            <w:r>
              <w:rPr>
                <w:kern w:val="0"/>
                <w:szCs w:val="21"/>
              </w:rPr>
              <w:t>≥20</w:t>
            </w:r>
          </w:p>
        </w:tc>
        <w:tc>
          <w:tcPr>
            <w:tcW w:w="1747" w:type="dxa"/>
            <w:vAlign w:val="center"/>
          </w:tcPr>
          <w:p w14:paraId="54D96A22">
            <w:pPr>
              <w:jc w:val="center"/>
              <w:rPr>
                <w:kern w:val="0"/>
                <w:szCs w:val="21"/>
              </w:rPr>
            </w:pPr>
            <w:r>
              <w:rPr>
                <w:kern w:val="0"/>
                <w:szCs w:val="21"/>
              </w:rPr>
              <w:t>≥18</w:t>
            </w:r>
          </w:p>
        </w:tc>
        <w:tc>
          <w:tcPr>
            <w:tcW w:w="2953" w:type="dxa"/>
            <w:vAlign w:val="center"/>
          </w:tcPr>
          <w:p w14:paraId="01AAFC5F">
            <w:pPr>
              <w:jc w:val="center"/>
              <w:rPr>
                <w:kern w:val="0"/>
                <w:szCs w:val="21"/>
              </w:rPr>
            </w:pPr>
            <w:r>
              <w:rPr>
                <w:kern w:val="0"/>
                <w:szCs w:val="21"/>
              </w:rPr>
              <w:t>各种客运车辆、摩托车</w:t>
            </w:r>
          </w:p>
        </w:tc>
        <w:tc>
          <w:tcPr>
            <w:tcW w:w="1105" w:type="dxa"/>
            <w:vAlign w:val="center"/>
          </w:tcPr>
          <w:p w14:paraId="1128C33B">
            <w:pPr>
              <w:jc w:val="center"/>
              <w:rPr>
                <w:kern w:val="0"/>
                <w:szCs w:val="21"/>
              </w:rPr>
            </w:pPr>
            <w:r>
              <w:rPr>
                <w:kern w:val="0"/>
                <w:szCs w:val="21"/>
              </w:rPr>
              <w:t>≥20</w:t>
            </w:r>
          </w:p>
        </w:tc>
      </w:tr>
      <w:tr w14:paraId="7089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579" w:type="dxa"/>
            <w:vAlign w:val="center"/>
          </w:tcPr>
          <w:p w14:paraId="61C2EE62">
            <w:pPr>
              <w:jc w:val="center"/>
              <w:rPr>
                <w:kern w:val="0"/>
                <w:szCs w:val="21"/>
              </w:rPr>
            </w:pPr>
            <w:r>
              <w:rPr>
                <w:kern w:val="0"/>
                <w:szCs w:val="21"/>
              </w:rPr>
              <w:t>支路</w:t>
            </w:r>
          </w:p>
        </w:tc>
        <w:tc>
          <w:tcPr>
            <w:tcW w:w="1450" w:type="dxa"/>
            <w:vAlign w:val="center"/>
          </w:tcPr>
          <w:p w14:paraId="58CD8C9E">
            <w:pPr>
              <w:jc w:val="center"/>
              <w:rPr>
                <w:kern w:val="0"/>
                <w:szCs w:val="21"/>
              </w:rPr>
            </w:pPr>
            <w:r>
              <w:rPr>
                <w:kern w:val="0"/>
                <w:szCs w:val="21"/>
              </w:rPr>
              <w:t>≤15</w:t>
            </w:r>
          </w:p>
        </w:tc>
        <w:tc>
          <w:tcPr>
            <w:tcW w:w="1747" w:type="dxa"/>
            <w:vAlign w:val="center"/>
          </w:tcPr>
          <w:p w14:paraId="59E72F72">
            <w:pPr>
              <w:jc w:val="center"/>
              <w:rPr>
                <w:kern w:val="0"/>
                <w:szCs w:val="21"/>
              </w:rPr>
            </w:pPr>
            <w:r>
              <w:rPr>
                <w:kern w:val="0"/>
                <w:szCs w:val="21"/>
              </w:rPr>
              <w:t>≤10</w:t>
            </w:r>
          </w:p>
        </w:tc>
        <w:tc>
          <w:tcPr>
            <w:tcW w:w="2953" w:type="dxa"/>
            <w:vAlign w:val="center"/>
          </w:tcPr>
          <w:p w14:paraId="2CC0D2F4">
            <w:pPr>
              <w:jc w:val="center"/>
              <w:rPr>
                <w:kern w:val="0"/>
                <w:szCs w:val="21"/>
              </w:rPr>
            </w:pPr>
            <w:r>
              <w:rPr>
                <w:kern w:val="0"/>
                <w:szCs w:val="21"/>
              </w:rPr>
              <w:t>小型机动车、摩托车、自行车</w:t>
            </w:r>
          </w:p>
        </w:tc>
        <w:tc>
          <w:tcPr>
            <w:tcW w:w="1105" w:type="dxa"/>
            <w:vAlign w:val="center"/>
          </w:tcPr>
          <w:p w14:paraId="4D92B17C">
            <w:pPr>
              <w:jc w:val="center"/>
              <w:rPr>
                <w:kern w:val="0"/>
                <w:szCs w:val="21"/>
              </w:rPr>
            </w:pPr>
            <w:r>
              <w:rPr>
                <w:kern w:val="0"/>
                <w:szCs w:val="21"/>
              </w:rPr>
              <w:t>≤15</w:t>
            </w:r>
          </w:p>
        </w:tc>
      </w:tr>
    </w:tbl>
    <w:p w14:paraId="064504D8">
      <w:pPr>
        <w:spacing w:before="156" w:beforeLines="50"/>
        <w:ind w:firstLine="422"/>
        <w:jc w:val="center"/>
        <w:rPr>
          <w:b/>
          <w:szCs w:val="21"/>
        </w:rPr>
      </w:pPr>
    </w:p>
    <w:p w14:paraId="281B49C9">
      <w:pPr>
        <w:rPr>
          <w:b/>
          <w:szCs w:val="21"/>
        </w:rPr>
      </w:pPr>
      <w:r>
        <w:rPr>
          <w:b/>
          <w:szCs w:val="21"/>
        </w:rPr>
        <w:br w:type="page"/>
      </w:r>
    </w:p>
    <w:p w14:paraId="1388B173">
      <w:pPr>
        <w:spacing w:before="156" w:beforeLines="50"/>
        <w:ind w:firstLine="422"/>
        <w:jc w:val="center"/>
        <w:rPr>
          <w:b/>
          <w:szCs w:val="21"/>
        </w:rPr>
      </w:pPr>
      <w:r>
        <w:rPr>
          <w:b/>
          <w:szCs w:val="21"/>
        </w:rPr>
        <w:t>表3-13道路划分依据</w:t>
      </w:r>
    </w:p>
    <w:tbl>
      <w:tblPr>
        <w:tblStyle w:val="39"/>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654"/>
        <w:gridCol w:w="871"/>
        <w:gridCol w:w="708"/>
        <w:gridCol w:w="853"/>
        <w:gridCol w:w="708"/>
        <w:gridCol w:w="852"/>
        <w:gridCol w:w="710"/>
        <w:gridCol w:w="922"/>
        <w:gridCol w:w="930"/>
        <w:gridCol w:w="774"/>
      </w:tblGrid>
      <w:tr w14:paraId="547E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blHeader/>
          <w:jc w:val="center"/>
        </w:trPr>
        <w:tc>
          <w:tcPr>
            <w:tcW w:w="852" w:type="dxa"/>
            <w:vMerge w:val="restart"/>
            <w:vAlign w:val="center"/>
          </w:tcPr>
          <w:p w14:paraId="6AA41924">
            <w:pPr>
              <w:adjustRightInd w:val="0"/>
              <w:snapToGrid w:val="0"/>
              <w:jc w:val="center"/>
              <w:rPr>
                <w:b/>
                <w:bCs/>
                <w:color w:val="000000"/>
                <w:kern w:val="0"/>
                <w:szCs w:val="21"/>
              </w:rPr>
            </w:pPr>
            <w:r>
              <w:rPr>
                <w:b/>
                <w:bCs/>
                <w:color w:val="000000"/>
                <w:kern w:val="0"/>
                <w:szCs w:val="21"/>
              </w:rPr>
              <w:t>道路类型</w:t>
            </w:r>
          </w:p>
        </w:tc>
        <w:tc>
          <w:tcPr>
            <w:tcW w:w="1525" w:type="dxa"/>
            <w:gridSpan w:val="2"/>
            <w:vAlign w:val="center"/>
          </w:tcPr>
          <w:p w14:paraId="6E55AF43">
            <w:pPr>
              <w:adjustRightInd w:val="0"/>
              <w:snapToGrid w:val="0"/>
              <w:jc w:val="center"/>
              <w:rPr>
                <w:b/>
                <w:bCs/>
                <w:color w:val="000000"/>
                <w:kern w:val="0"/>
                <w:szCs w:val="21"/>
              </w:rPr>
            </w:pPr>
            <w:r>
              <w:rPr>
                <w:b/>
                <w:bCs/>
                <w:color w:val="000000"/>
                <w:kern w:val="0"/>
                <w:szCs w:val="21"/>
              </w:rPr>
              <w:t>商业用地</w:t>
            </w:r>
          </w:p>
        </w:tc>
        <w:tc>
          <w:tcPr>
            <w:tcW w:w="1561" w:type="dxa"/>
            <w:gridSpan w:val="2"/>
            <w:vAlign w:val="center"/>
          </w:tcPr>
          <w:p w14:paraId="479C9527">
            <w:pPr>
              <w:adjustRightInd w:val="0"/>
              <w:snapToGrid w:val="0"/>
              <w:jc w:val="center"/>
              <w:rPr>
                <w:b/>
                <w:bCs/>
                <w:color w:val="000000"/>
                <w:kern w:val="0"/>
                <w:szCs w:val="21"/>
              </w:rPr>
            </w:pPr>
            <w:r>
              <w:rPr>
                <w:b/>
                <w:bCs/>
                <w:color w:val="000000"/>
                <w:kern w:val="0"/>
                <w:szCs w:val="21"/>
              </w:rPr>
              <w:t>住宅用地</w:t>
            </w:r>
          </w:p>
        </w:tc>
        <w:tc>
          <w:tcPr>
            <w:tcW w:w="1560" w:type="dxa"/>
            <w:gridSpan w:val="2"/>
            <w:vAlign w:val="center"/>
          </w:tcPr>
          <w:p w14:paraId="0B2755FC">
            <w:pPr>
              <w:adjustRightInd w:val="0"/>
              <w:snapToGrid w:val="0"/>
              <w:jc w:val="center"/>
              <w:rPr>
                <w:b/>
                <w:bCs/>
                <w:color w:val="000000"/>
                <w:kern w:val="0"/>
                <w:szCs w:val="21"/>
              </w:rPr>
            </w:pPr>
            <w:r>
              <w:rPr>
                <w:b/>
                <w:bCs/>
                <w:color w:val="000000"/>
                <w:kern w:val="0"/>
                <w:szCs w:val="21"/>
              </w:rPr>
              <w:t>工业用地</w:t>
            </w:r>
          </w:p>
        </w:tc>
        <w:tc>
          <w:tcPr>
            <w:tcW w:w="1632" w:type="dxa"/>
            <w:gridSpan w:val="2"/>
            <w:vAlign w:val="center"/>
          </w:tcPr>
          <w:p w14:paraId="7D03A6DA">
            <w:pPr>
              <w:adjustRightInd w:val="0"/>
              <w:snapToGrid w:val="0"/>
              <w:jc w:val="center"/>
              <w:rPr>
                <w:b/>
                <w:bCs/>
                <w:color w:val="000000"/>
                <w:kern w:val="0"/>
                <w:szCs w:val="21"/>
              </w:rPr>
            </w:pPr>
            <w:r>
              <w:rPr>
                <w:b/>
                <w:bCs/>
                <w:color w:val="000000"/>
                <w:kern w:val="0"/>
                <w:szCs w:val="21"/>
              </w:rPr>
              <w:t>公服用地</w:t>
            </w:r>
          </w:p>
        </w:tc>
        <w:tc>
          <w:tcPr>
            <w:tcW w:w="930" w:type="dxa"/>
            <w:vMerge w:val="restart"/>
            <w:vAlign w:val="center"/>
          </w:tcPr>
          <w:p w14:paraId="7CA21647">
            <w:pPr>
              <w:adjustRightInd w:val="0"/>
              <w:snapToGrid w:val="0"/>
              <w:jc w:val="center"/>
              <w:rPr>
                <w:b/>
                <w:bCs/>
                <w:color w:val="000000"/>
                <w:kern w:val="0"/>
                <w:szCs w:val="21"/>
              </w:rPr>
            </w:pPr>
            <w:r>
              <w:rPr>
                <w:b/>
                <w:bCs/>
                <w:color w:val="000000"/>
                <w:kern w:val="0"/>
                <w:szCs w:val="21"/>
              </w:rPr>
              <w:t>道路长度（km）</w:t>
            </w:r>
          </w:p>
        </w:tc>
        <w:tc>
          <w:tcPr>
            <w:tcW w:w="774" w:type="dxa"/>
            <w:vMerge w:val="restart"/>
            <w:vAlign w:val="center"/>
          </w:tcPr>
          <w:p w14:paraId="7CA22A4A">
            <w:pPr>
              <w:adjustRightInd w:val="0"/>
              <w:snapToGrid w:val="0"/>
              <w:jc w:val="center"/>
              <w:rPr>
                <w:b/>
                <w:bCs/>
                <w:color w:val="000000"/>
                <w:kern w:val="0"/>
                <w:szCs w:val="21"/>
              </w:rPr>
            </w:pPr>
            <w:r>
              <w:rPr>
                <w:b/>
                <w:bCs/>
                <w:color w:val="000000"/>
                <w:kern w:val="0"/>
                <w:szCs w:val="21"/>
              </w:rPr>
              <w:t>作用半径(m)</w:t>
            </w:r>
          </w:p>
        </w:tc>
      </w:tr>
      <w:tr w14:paraId="7858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blHeader/>
          <w:jc w:val="center"/>
        </w:trPr>
        <w:tc>
          <w:tcPr>
            <w:tcW w:w="852" w:type="dxa"/>
            <w:vMerge w:val="continue"/>
            <w:vAlign w:val="center"/>
          </w:tcPr>
          <w:p w14:paraId="4F349700">
            <w:pPr>
              <w:adjustRightInd w:val="0"/>
              <w:snapToGrid w:val="0"/>
              <w:jc w:val="center"/>
              <w:rPr>
                <w:b/>
                <w:bCs/>
                <w:color w:val="000000"/>
                <w:kern w:val="0"/>
                <w:szCs w:val="21"/>
              </w:rPr>
            </w:pPr>
          </w:p>
        </w:tc>
        <w:tc>
          <w:tcPr>
            <w:tcW w:w="654" w:type="dxa"/>
            <w:vAlign w:val="center"/>
          </w:tcPr>
          <w:p w14:paraId="132E5DF4">
            <w:pPr>
              <w:adjustRightInd w:val="0"/>
              <w:snapToGrid w:val="0"/>
              <w:jc w:val="center"/>
              <w:rPr>
                <w:b/>
                <w:bCs/>
                <w:color w:val="000000"/>
                <w:kern w:val="0"/>
                <w:szCs w:val="21"/>
              </w:rPr>
            </w:pPr>
            <w:r>
              <w:rPr>
                <w:b/>
                <w:bCs/>
                <w:color w:val="000000"/>
                <w:kern w:val="0"/>
                <w:szCs w:val="21"/>
              </w:rPr>
              <w:t>功能分</w:t>
            </w:r>
          </w:p>
        </w:tc>
        <w:tc>
          <w:tcPr>
            <w:tcW w:w="871" w:type="dxa"/>
            <w:vAlign w:val="center"/>
          </w:tcPr>
          <w:p w14:paraId="067B3EA4">
            <w:pPr>
              <w:adjustRightInd w:val="0"/>
              <w:snapToGrid w:val="0"/>
              <w:jc w:val="center"/>
              <w:rPr>
                <w:b/>
                <w:bCs/>
                <w:color w:val="000000"/>
                <w:kern w:val="0"/>
                <w:szCs w:val="21"/>
              </w:rPr>
            </w:pPr>
            <w:r>
              <w:rPr>
                <w:b/>
                <w:bCs/>
                <w:color w:val="000000"/>
                <w:kern w:val="0"/>
                <w:szCs w:val="21"/>
              </w:rPr>
              <w:t>重要性排序</w:t>
            </w:r>
          </w:p>
        </w:tc>
        <w:tc>
          <w:tcPr>
            <w:tcW w:w="708" w:type="dxa"/>
            <w:vAlign w:val="center"/>
          </w:tcPr>
          <w:p w14:paraId="7FD5B820">
            <w:pPr>
              <w:adjustRightInd w:val="0"/>
              <w:snapToGrid w:val="0"/>
              <w:jc w:val="center"/>
              <w:rPr>
                <w:b/>
                <w:bCs/>
                <w:color w:val="000000"/>
                <w:kern w:val="0"/>
                <w:szCs w:val="21"/>
              </w:rPr>
            </w:pPr>
            <w:r>
              <w:rPr>
                <w:b/>
                <w:bCs/>
                <w:color w:val="000000"/>
                <w:kern w:val="0"/>
                <w:szCs w:val="21"/>
              </w:rPr>
              <w:t>功能分</w:t>
            </w:r>
          </w:p>
        </w:tc>
        <w:tc>
          <w:tcPr>
            <w:tcW w:w="853" w:type="dxa"/>
            <w:vAlign w:val="center"/>
          </w:tcPr>
          <w:p w14:paraId="05791691">
            <w:pPr>
              <w:adjustRightInd w:val="0"/>
              <w:snapToGrid w:val="0"/>
              <w:jc w:val="center"/>
              <w:rPr>
                <w:b/>
                <w:bCs/>
                <w:color w:val="000000"/>
                <w:kern w:val="0"/>
                <w:szCs w:val="21"/>
              </w:rPr>
            </w:pPr>
            <w:r>
              <w:rPr>
                <w:b/>
                <w:bCs/>
                <w:color w:val="000000"/>
                <w:kern w:val="0"/>
                <w:szCs w:val="21"/>
              </w:rPr>
              <w:t>重要性排序</w:t>
            </w:r>
          </w:p>
        </w:tc>
        <w:tc>
          <w:tcPr>
            <w:tcW w:w="708" w:type="dxa"/>
            <w:vAlign w:val="center"/>
          </w:tcPr>
          <w:p w14:paraId="3C25F342">
            <w:pPr>
              <w:adjustRightInd w:val="0"/>
              <w:snapToGrid w:val="0"/>
              <w:jc w:val="center"/>
              <w:rPr>
                <w:b/>
                <w:bCs/>
                <w:color w:val="000000"/>
                <w:kern w:val="0"/>
                <w:szCs w:val="21"/>
              </w:rPr>
            </w:pPr>
            <w:r>
              <w:rPr>
                <w:b/>
                <w:bCs/>
                <w:color w:val="000000"/>
                <w:kern w:val="0"/>
                <w:szCs w:val="21"/>
              </w:rPr>
              <w:t>功能分</w:t>
            </w:r>
          </w:p>
        </w:tc>
        <w:tc>
          <w:tcPr>
            <w:tcW w:w="852" w:type="dxa"/>
            <w:vAlign w:val="center"/>
          </w:tcPr>
          <w:p w14:paraId="53B3A907">
            <w:pPr>
              <w:adjustRightInd w:val="0"/>
              <w:snapToGrid w:val="0"/>
              <w:jc w:val="center"/>
              <w:rPr>
                <w:b/>
                <w:bCs/>
                <w:color w:val="000000"/>
                <w:kern w:val="0"/>
                <w:szCs w:val="21"/>
              </w:rPr>
            </w:pPr>
            <w:r>
              <w:rPr>
                <w:b/>
                <w:bCs/>
                <w:color w:val="000000"/>
                <w:kern w:val="0"/>
                <w:szCs w:val="21"/>
              </w:rPr>
              <w:t>重要性排序</w:t>
            </w:r>
          </w:p>
        </w:tc>
        <w:tc>
          <w:tcPr>
            <w:tcW w:w="710" w:type="dxa"/>
            <w:vAlign w:val="center"/>
          </w:tcPr>
          <w:p w14:paraId="381931F9">
            <w:pPr>
              <w:adjustRightInd w:val="0"/>
              <w:snapToGrid w:val="0"/>
              <w:jc w:val="center"/>
              <w:rPr>
                <w:b/>
                <w:bCs/>
                <w:color w:val="000000"/>
                <w:kern w:val="0"/>
                <w:szCs w:val="21"/>
              </w:rPr>
            </w:pPr>
            <w:r>
              <w:rPr>
                <w:b/>
                <w:bCs/>
                <w:color w:val="000000"/>
                <w:kern w:val="0"/>
                <w:szCs w:val="21"/>
              </w:rPr>
              <w:t>功能分</w:t>
            </w:r>
          </w:p>
        </w:tc>
        <w:tc>
          <w:tcPr>
            <w:tcW w:w="922" w:type="dxa"/>
            <w:vAlign w:val="center"/>
          </w:tcPr>
          <w:p w14:paraId="164BB109">
            <w:pPr>
              <w:adjustRightInd w:val="0"/>
              <w:snapToGrid w:val="0"/>
              <w:jc w:val="center"/>
              <w:rPr>
                <w:b/>
                <w:bCs/>
                <w:color w:val="000000"/>
                <w:kern w:val="0"/>
                <w:szCs w:val="21"/>
              </w:rPr>
            </w:pPr>
            <w:r>
              <w:rPr>
                <w:b/>
                <w:bCs/>
                <w:color w:val="000000"/>
                <w:kern w:val="0"/>
                <w:szCs w:val="21"/>
              </w:rPr>
              <w:t>重要性排序</w:t>
            </w:r>
          </w:p>
        </w:tc>
        <w:tc>
          <w:tcPr>
            <w:tcW w:w="930" w:type="dxa"/>
            <w:vMerge w:val="continue"/>
            <w:vAlign w:val="center"/>
          </w:tcPr>
          <w:p w14:paraId="1A7E336D">
            <w:pPr>
              <w:adjustRightInd w:val="0"/>
              <w:snapToGrid w:val="0"/>
              <w:jc w:val="center"/>
              <w:rPr>
                <w:b/>
                <w:bCs/>
                <w:color w:val="000000"/>
                <w:kern w:val="0"/>
                <w:szCs w:val="21"/>
              </w:rPr>
            </w:pPr>
          </w:p>
        </w:tc>
        <w:tc>
          <w:tcPr>
            <w:tcW w:w="774" w:type="dxa"/>
            <w:vMerge w:val="continue"/>
            <w:vAlign w:val="center"/>
          </w:tcPr>
          <w:p w14:paraId="1E16FFD6">
            <w:pPr>
              <w:adjustRightInd w:val="0"/>
              <w:snapToGrid w:val="0"/>
              <w:jc w:val="center"/>
              <w:rPr>
                <w:b/>
                <w:bCs/>
                <w:color w:val="000000"/>
                <w:kern w:val="0"/>
                <w:szCs w:val="21"/>
              </w:rPr>
            </w:pPr>
          </w:p>
        </w:tc>
      </w:tr>
      <w:tr w14:paraId="60FB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jc w:val="center"/>
        </w:trPr>
        <w:tc>
          <w:tcPr>
            <w:tcW w:w="852" w:type="dxa"/>
            <w:vAlign w:val="center"/>
          </w:tcPr>
          <w:p w14:paraId="5DF7D471">
            <w:pPr>
              <w:adjustRightInd w:val="0"/>
              <w:snapToGrid w:val="0"/>
              <w:jc w:val="center"/>
              <w:rPr>
                <w:color w:val="000000"/>
                <w:kern w:val="0"/>
                <w:szCs w:val="21"/>
              </w:rPr>
            </w:pPr>
            <w:r>
              <w:rPr>
                <w:color w:val="000000"/>
                <w:kern w:val="0"/>
                <w:szCs w:val="21"/>
              </w:rPr>
              <w:t>混合型主干道</w:t>
            </w:r>
          </w:p>
        </w:tc>
        <w:tc>
          <w:tcPr>
            <w:tcW w:w="654" w:type="dxa"/>
            <w:vAlign w:val="center"/>
          </w:tcPr>
          <w:p w14:paraId="3D337431">
            <w:pPr>
              <w:adjustRightInd w:val="0"/>
              <w:snapToGrid w:val="0"/>
              <w:jc w:val="center"/>
              <w:rPr>
                <w:color w:val="000000"/>
                <w:kern w:val="0"/>
                <w:szCs w:val="21"/>
              </w:rPr>
            </w:pPr>
            <w:r>
              <w:rPr>
                <w:color w:val="000000"/>
                <w:kern w:val="0"/>
                <w:szCs w:val="21"/>
              </w:rPr>
              <w:t>100</w:t>
            </w:r>
          </w:p>
        </w:tc>
        <w:tc>
          <w:tcPr>
            <w:tcW w:w="871" w:type="dxa"/>
            <w:vAlign w:val="center"/>
          </w:tcPr>
          <w:p w14:paraId="6B51D829">
            <w:pPr>
              <w:adjustRightInd w:val="0"/>
              <w:snapToGrid w:val="0"/>
              <w:jc w:val="center"/>
              <w:rPr>
                <w:color w:val="000000"/>
                <w:kern w:val="0"/>
                <w:szCs w:val="21"/>
              </w:rPr>
            </w:pPr>
            <w:r>
              <w:rPr>
                <w:color w:val="000000"/>
                <w:kern w:val="0"/>
                <w:szCs w:val="21"/>
              </w:rPr>
              <w:t>1</w:t>
            </w:r>
          </w:p>
        </w:tc>
        <w:tc>
          <w:tcPr>
            <w:tcW w:w="708" w:type="dxa"/>
            <w:vAlign w:val="center"/>
          </w:tcPr>
          <w:p w14:paraId="115FAA99">
            <w:pPr>
              <w:adjustRightInd w:val="0"/>
              <w:snapToGrid w:val="0"/>
              <w:jc w:val="center"/>
              <w:rPr>
                <w:color w:val="000000"/>
                <w:kern w:val="0"/>
                <w:szCs w:val="21"/>
              </w:rPr>
            </w:pPr>
            <w:r>
              <w:rPr>
                <w:color w:val="000000"/>
                <w:kern w:val="0"/>
                <w:szCs w:val="21"/>
              </w:rPr>
              <w:t>80</w:t>
            </w:r>
          </w:p>
        </w:tc>
        <w:tc>
          <w:tcPr>
            <w:tcW w:w="853" w:type="dxa"/>
            <w:vAlign w:val="center"/>
          </w:tcPr>
          <w:p w14:paraId="0A33043B">
            <w:pPr>
              <w:adjustRightInd w:val="0"/>
              <w:snapToGrid w:val="0"/>
              <w:jc w:val="center"/>
              <w:rPr>
                <w:color w:val="000000"/>
                <w:kern w:val="0"/>
                <w:szCs w:val="21"/>
              </w:rPr>
            </w:pPr>
            <w:r>
              <w:rPr>
                <w:color w:val="000000"/>
                <w:kern w:val="0"/>
                <w:szCs w:val="21"/>
              </w:rPr>
              <w:t>2</w:t>
            </w:r>
          </w:p>
        </w:tc>
        <w:tc>
          <w:tcPr>
            <w:tcW w:w="708" w:type="dxa"/>
            <w:vAlign w:val="center"/>
          </w:tcPr>
          <w:p w14:paraId="325C0D05">
            <w:pPr>
              <w:adjustRightInd w:val="0"/>
              <w:snapToGrid w:val="0"/>
              <w:jc w:val="center"/>
              <w:rPr>
                <w:color w:val="000000"/>
                <w:kern w:val="0"/>
                <w:szCs w:val="21"/>
              </w:rPr>
            </w:pPr>
            <w:r>
              <w:rPr>
                <w:color w:val="000000"/>
                <w:kern w:val="0"/>
                <w:szCs w:val="21"/>
              </w:rPr>
              <w:t>85</w:t>
            </w:r>
          </w:p>
        </w:tc>
        <w:tc>
          <w:tcPr>
            <w:tcW w:w="852" w:type="dxa"/>
            <w:vAlign w:val="center"/>
          </w:tcPr>
          <w:p w14:paraId="5616D8C8">
            <w:pPr>
              <w:adjustRightInd w:val="0"/>
              <w:snapToGrid w:val="0"/>
              <w:jc w:val="center"/>
              <w:rPr>
                <w:color w:val="000000"/>
                <w:kern w:val="0"/>
                <w:szCs w:val="21"/>
              </w:rPr>
            </w:pPr>
            <w:r>
              <w:rPr>
                <w:color w:val="000000"/>
                <w:kern w:val="0"/>
                <w:szCs w:val="21"/>
              </w:rPr>
              <w:t>2</w:t>
            </w:r>
          </w:p>
        </w:tc>
        <w:tc>
          <w:tcPr>
            <w:tcW w:w="710" w:type="dxa"/>
            <w:vAlign w:val="center"/>
          </w:tcPr>
          <w:p w14:paraId="134D9A5C">
            <w:pPr>
              <w:adjustRightInd w:val="0"/>
              <w:snapToGrid w:val="0"/>
              <w:jc w:val="center"/>
              <w:rPr>
                <w:color w:val="000000"/>
                <w:kern w:val="0"/>
                <w:szCs w:val="21"/>
              </w:rPr>
            </w:pPr>
            <w:r>
              <w:rPr>
                <w:color w:val="000000"/>
                <w:kern w:val="0"/>
                <w:szCs w:val="21"/>
              </w:rPr>
              <w:t>100</w:t>
            </w:r>
          </w:p>
        </w:tc>
        <w:tc>
          <w:tcPr>
            <w:tcW w:w="922" w:type="dxa"/>
            <w:vAlign w:val="center"/>
          </w:tcPr>
          <w:p w14:paraId="5409C64B">
            <w:pPr>
              <w:adjustRightInd w:val="0"/>
              <w:snapToGrid w:val="0"/>
              <w:jc w:val="center"/>
              <w:rPr>
                <w:color w:val="000000"/>
                <w:kern w:val="0"/>
                <w:szCs w:val="21"/>
              </w:rPr>
            </w:pPr>
            <w:r>
              <w:rPr>
                <w:color w:val="000000"/>
                <w:kern w:val="0"/>
                <w:szCs w:val="21"/>
              </w:rPr>
              <w:t>1</w:t>
            </w:r>
          </w:p>
        </w:tc>
        <w:tc>
          <w:tcPr>
            <w:tcW w:w="930" w:type="dxa"/>
            <w:vAlign w:val="center"/>
          </w:tcPr>
          <w:p w14:paraId="451F3726">
            <w:pPr>
              <w:adjustRightInd w:val="0"/>
              <w:snapToGrid w:val="0"/>
              <w:jc w:val="center"/>
              <w:rPr>
                <w:color w:val="000000"/>
                <w:kern w:val="0"/>
                <w:szCs w:val="21"/>
              </w:rPr>
            </w:pPr>
            <w:r>
              <w:rPr>
                <w:color w:val="000000"/>
                <w:kern w:val="0"/>
                <w:szCs w:val="21"/>
              </w:rPr>
              <w:t>29.09</w:t>
            </w:r>
          </w:p>
        </w:tc>
        <w:tc>
          <w:tcPr>
            <w:tcW w:w="774" w:type="dxa"/>
            <w:vAlign w:val="center"/>
          </w:tcPr>
          <w:p w14:paraId="316BBBCC">
            <w:pPr>
              <w:adjustRightInd w:val="0"/>
              <w:snapToGrid w:val="0"/>
              <w:jc w:val="center"/>
              <w:rPr>
                <w:color w:val="000000"/>
                <w:kern w:val="0"/>
                <w:szCs w:val="21"/>
              </w:rPr>
            </w:pPr>
            <w:r>
              <w:rPr>
                <w:color w:val="000000"/>
                <w:kern w:val="0"/>
                <w:szCs w:val="21"/>
              </w:rPr>
              <w:t>2334</w:t>
            </w:r>
          </w:p>
        </w:tc>
      </w:tr>
      <w:tr w14:paraId="1310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jc w:val="center"/>
        </w:trPr>
        <w:tc>
          <w:tcPr>
            <w:tcW w:w="852" w:type="dxa"/>
            <w:vAlign w:val="center"/>
          </w:tcPr>
          <w:p w14:paraId="058C52FD">
            <w:pPr>
              <w:adjustRightInd w:val="0"/>
              <w:snapToGrid w:val="0"/>
              <w:jc w:val="center"/>
              <w:rPr>
                <w:color w:val="000000"/>
                <w:kern w:val="0"/>
                <w:szCs w:val="21"/>
              </w:rPr>
            </w:pPr>
            <w:r>
              <w:rPr>
                <w:color w:val="000000"/>
                <w:kern w:val="0"/>
                <w:szCs w:val="21"/>
              </w:rPr>
              <w:t>生活型主干道</w:t>
            </w:r>
          </w:p>
        </w:tc>
        <w:tc>
          <w:tcPr>
            <w:tcW w:w="654" w:type="dxa"/>
            <w:vAlign w:val="center"/>
          </w:tcPr>
          <w:p w14:paraId="07F85700">
            <w:pPr>
              <w:adjustRightInd w:val="0"/>
              <w:snapToGrid w:val="0"/>
              <w:jc w:val="center"/>
              <w:rPr>
                <w:color w:val="000000"/>
                <w:kern w:val="0"/>
                <w:szCs w:val="21"/>
              </w:rPr>
            </w:pPr>
            <w:r>
              <w:rPr>
                <w:color w:val="000000"/>
                <w:kern w:val="0"/>
                <w:szCs w:val="21"/>
              </w:rPr>
              <w:t>95</w:t>
            </w:r>
          </w:p>
        </w:tc>
        <w:tc>
          <w:tcPr>
            <w:tcW w:w="871" w:type="dxa"/>
            <w:vAlign w:val="center"/>
          </w:tcPr>
          <w:p w14:paraId="0BFAC321">
            <w:pPr>
              <w:adjustRightInd w:val="0"/>
              <w:snapToGrid w:val="0"/>
              <w:jc w:val="center"/>
              <w:rPr>
                <w:color w:val="000000"/>
                <w:kern w:val="0"/>
                <w:szCs w:val="21"/>
              </w:rPr>
            </w:pPr>
            <w:r>
              <w:rPr>
                <w:color w:val="000000"/>
                <w:kern w:val="0"/>
                <w:szCs w:val="21"/>
              </w:rPr>
              <w:t>2</w:t>
            </w:r>
          </w:p>
        </w:tc>
        <w:tc>
          <w:tcPr>
            <w:tcW w:w="708" w:type="dxa"/>
            <w:vAlign w:val="center"/>
          </w:tcPr>
          <w:p w14:paraId="2A586B79">
            <w:pPr>
              <w:adjustRightInd w:val="0"/>
              <w:snapToGrid w:val="0"/>
              <w:jc w:val="center"/>
              <w:rPr>
                <w:color w:val="000000"/>
                <w:kern w:val="0"/>
                <w:szCs w:val="21"/>
              </w:rPr>
            </w:pPr>
            <w:r>
              <w:rPr>
                <w:color w:val="000000"/>
                <w:kern w:val="0"/>
                <w:szCs w:val="21"/>
              </w:rPr>
              <w:t>100</w:t>
            </w:r>
          </w:p>
        </w:tc>
        <w:tc>
          <w:tcPr>
            <w:tcW w:w="853" w:type="dxa"/>
            <w:vAlign w:val="center"/>
          </w:tcPr>
          <w:p w14:paraId="2BEEE25F">
            <w:pPr>
              <w:adjustRightInd w:val="0"/>
              <w:snapToGrid w:val="0"/>
              <w:jc w:val="center"/>
              <w:rPr>
                <w:color w:val="000000"/>
                <w:kern w:val="0"/>
                <w:szCs w:val="21"/>
              </w:rPr>
            </w:pPr>
            <w:r>
              <w:rPr>
                <w:color w:val="000000"/>
                <w:kern w:val="0"/>
                <w:szCs w:val="21"/>
              </w:rPr>
              <w:t>1</w:t>
            </w:r>
          </w:p>
        </w:tc>
        <w:tc>
          <w:tcPr>
            <w:tcW w:w="708" w:type="dxa"/>
            <w:vAlign w:val="center"/>
          </w:tcPr>
          <w:p w14:paraId="4843666C">
            <w:pPr>
              <w:adjustRightInd w:val="0"/>
              <w:snapToGrid w:val="0"/>
              <w:jc w:val="center"/>
              <w:rPr>
                <w:color w:val="000000"/>
                <w:kern w:val="0"/>
                <w:szCs w:val="21"/>
              </w:rPr>
            </w:pPr>
            <w:r>
              <w:rPr>
                <w:color w:val="000000"/>
                <w:kern w:val="0"/>
                <w:szCs w:val="21"/>
              </w:rPr>
              <w:t>65</w:t>
            </w:r>
          </w:p>
        </w:tc>
        <w:tc>
          <w:tcPr>
            <w:tcW w:w="852" w:type="dxa"/>
            <w:vAlign w:val="center"/>
          </w:tcPr>
          <w:p w14:paraId="76149D8C">
            <w:pPr>
              <w:adjustRightInd w:val="0"/>
              <w:snapToGrid w:val="0"/>
              <w:jc w:val="center"/>
              <w:rPr>
                <w:color w:val="000000"/>
                <w:kern w:val="0"/>
                <w:szCs w:val="21"/>
              </w:rPr>
            </w:pPr>
            <w:r>
              <w:rPr>
                <w:color w:val="000000"/>
                <w:kern w:val="0"/>
                <w:szCs w:val="21"/>
              </w:rPr>
              <w:t>3</w:t>
            </w:r>
          </w:p>
        </w:tc>
        <w:tc>
          <w:tcPr>
            <w:tcW w:w="710" w:type="dxa"/>
            <w:vAlign w:val="center"/>
          </w:tcPr>
          <w:p w14:paraId="41D3CE93">
            <w:pPr>
              <w:adjustRightInd w:val="0"/>
              <w:snapToGrid w:val="0"/>
              <w:jc w:val="center"/>
              <w:rPr>
                <w:color w:val="000000"/>
                <w:kern w:val="0"/>
                <w:szCs w:val="21"/>
              </w:rPr>
            </w:pPr>
            <w:r>
              <w:rPr>
                <w:color w:val="000000"/>
                <w:kern w:val="0"/>
                <w:szCs w:val="21"/>
              </w:rPr>
              <w:t>95</w:t>
            </w:r>
          </w:p>
        </w:tc>
        <w:tc>
          <w:tcPr>
            <w:tcW w:w="922" w:type="dxa"/>
            <w:vAlign w:val="center"/>
          </w:tcPr>
          <w:p w14:paraId="32C97AE0">
            <w:pPr>
              <w:adjustRightInd w:val="0"/>
              <w:snapToGrid w:val="0"/>
              <w:jc w:val="center"/>
              <w:rPr>
                <w:color w:val="000000"/>
                <w:kern w:val="0"/>
                <w:szCs w:val="21"/>
              </w:rPr>
            </w:pPr>
            <w:r>
              <w:rPr>
                <w:color w:val="000000"/>
                <w:kern w:val="0"/>
                <w:szCs w:val="21"/>
              </w:rPr>
              <w:t>2</w:t>
            </w:r>
          </w:p>
        </w:tc>
        <w:tc>
          <w:tcPr>
            <w:tcW w:w="930" w:type="dxa"/>
            <w:vAlign w:val="center"/>
          </w:tcPr>
          <w:p w14:paraId="3FC6DB30">
            <w:pPr>
              <w:adjustRightInd w:val="0"/>
              <w:snapToGrid w:val="0"/>
              <w:jc w:val="center"/>
              <w:rPr>
                <w:color w:val="000000"/>
                <w:kern w:val="0"/>
                <w:szCs w:val="21"/>
              </w:rPr>
            </w:pPr>
            <w:r>
              <w:rPr>
                <w:color w:val="000000"/>
                <w:kern w:val="0"/>
                <w:szCs w:val="21"/>
              </w:rPr>
              <w:t>36.10</w:t>
            </w:r>
          </w:p>
        </w:tc>
        <w:tc>
          <w:tcPr>
            <w:tcW w:w="774" w:type="dxa"/>
            <w:vAlign w:val="center"/>
          </w:tcPr>
          <w:p w14:paraId="4E36849F">
            <w:pPr>
              <w:adjustRightInd w:val="0"/>
              <w:snapToGrid w:val="0"/>
              <w:jc w:val="center"/>
              <w:rPr>
                <w:color w:val="000000"/>
                <w:kern w:val="0"/>
                <w:szCs w:val="21"/>
              </w:rPr>
            </w:pPr>
            <w:r>
              <w:rPr>
                <w:color w:val="000000"/>
                <w:kern w:val="0"/>
                <w:szCs w:val="21"/>
              </w:rPr>
              <w:t>1880</w:t>
            </w:r>
          </w:p>
        </w:tc>
      </w:tr>
      <w:tr w14:paraId="29E1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jc w:val="center"/>
        </w:trPr>
        <w:tc>
          <w:tcPr>
            <w:tcW w:w="852" w:type="dxa"/>
            <w:vAlign w:val="center"/>
          </w:tcPr>
          <w:p w14:paraId="18196CED">
            <w:pPr>
              <w:adjustRightInd w:val="0"/>
              <w:snapToGrid w:val="0"/>
              <w:jc w:val="center"/>
              <w:rPr>
                <w:color w:val="000000"/>
                <w:kern w:val="0"/>
                <w:szCs w:val="21"/>
              </w:rPr>
            </w:pPr>
            <w:r>
              <w:rPr>
                <w:color w:val="000000"/>
                <w:kern w:val="0"/>
                <w:szCs w:val="21"/>
              </w:rPr>
              <w:t>交通型主干道</w:t>
            </w:r>
          </w:p>
        </w:tc>
        <w:tc>
          <w:tcPr>
            <w:tcW w:w="654" w:type="dxa"/>
            <w:vAlign w:val="center"/>
          </w:tcPr>
          <w:p w14:paraId="37C9DE25">
            <w:pPr>
              <w:adjustRightInd w:val="0"/>
              <w:snapToGrid w:val="0"/>
              <w:jc w:val="center"/>
              <w:rPr>
                <w:color w:val="000000"/>
                <w:kern w:val="0"/>
                <w:szCs w:val="21"/>
              </w:rPr>
            </w:pPr>
            <w:r>
              <w:rPr>
                <w:color w:val="000000"/>
                <w:kern w:val="0"/>
                <w:szCs w:val="21"/>
              </w:rPr>
              <w:t>75</w:t>
            </w:r>
          </w:p>
        </w:tc>
        <w:tc>
          <w:tcPr>
            <w:tcW w:w="871" w:type="dxa"/>
            <w:vAlign w:val="center"/>
          </w:tcPr>
          <w:p w14:paraId="2E179FF0">
            <w:pPr>
              <w:adjustRightInd w:val="0"/>
              <w:snapToGrid w:val="0"/>
              <w:jc w:val="center"/>
              <w:rPr>
                <w:color w:val="000000"/>
                <w:kern w:val="0"/>
                <w:szCs w:val="21"/>
              </w:rPr>
            </w:pPr>
            <w:r>
              <w:rPr>
                <w:color w:val="000000"/>
                <w:kern w:val="0"/>
                <w:szCs w:val="21"/>
              </w:rPr>
              <w:t>3</w:t>
            </w:r>
          </w:p>
        </w:tc>
        <w:tc>
          <w:tcPr>
            <w:tcW w:w="708" w:type="dxa"/>
            <w:vAlign w:val="center"/>
          </w:tcPr>
          <w:p w14:paraId="6F6FF3F2">
            <w:pPr>
              <w:adjustRightInd w:val="0"/>
              <w:snapToGrid w:val="0"/>
              <w:jc w:val="center"/>
              <w:rPr>
                <w:color w:val="000000"/>
                <w:kern w:val="0"/>
                <w:szCs w:val="21"/>
              </w:rPr>
            </w:pPr>
            <w:r>
              <w:rPr>
                <w:color w:val="000000"/>
                <w:kern w:val="0"/>
                <w:szCs w:val="21"/>
              </w:rPr>
              <w:t>70</w:t>
            </w:r>
          </w:p>
        </w:tc>
        <w:tc>
          <w:tcPr>
            <w:tcW w:w="853" w:type="dxa"/>
            <w:vAlign w:val="center"/>
          </w:tcPr>
          <w:p w14:paraId="6C0DA05E">
            <w:pPr>
              <w:adjustRightInd w:val="0"/>
              <w:snapToGrid w:val="0"/>
              <w:jc w:val="center"/>
              <w:rPr>
                <w:color w:val="000000"/>
                <w:kern w:val="0"/>
                <w:szCs w:val="21"/>
              </w:rPr>
            </w:pPr>
            <w:r>
              <w:rPr>
                <w:color w:val="000000"/>
                <w:kern w:val="0"/>
                <w:szCs w:val="21"/>
              </w:rPr>
              <w:t>3</w:t>
            </w:r>
          </w:p>
        </w:tc>
        <w:tc>
          <w:tcPr>
            <w:tcW w:w="708" w:type="dxa"/>
            <w:vAlign w:val="center"/>
          </w:tcPr>
          <w:p w14:paraId="5F8503E6">
            <w:pPr>
              <w:adjustRightInd w:val="0"/>
              <w:snapToGrid w:val="0"/>
              <w:jc w:val="center"/>
              <w:rPr>
                <w:color w:val="000000"/>
                <w:kern w:val="0"/>
                <w:szCs w:val="21"/>
              </w:rPr>
            </w:pPr>
            <w:r>
              <w:rPr>
                <w:color w:val="000000"/>
                <w:kern w:val="0"/>
                <w:szCs w:val="21"/>
              </w:rPr>
              <w:t>100</w:t>
            </w:r>
          </w:p>
        </w:tc>
        <w:tc>
          <w:tcPr>
            <w:tcW w:w="852" w:type="dxa"/>
            <w:vAlign w:val="center"/>
          </w:tcPr>
          <w:p w14:paraId="299CC961">
            <w:pPr>
              <w:adjustRightInd w:val="0"/>
              <w:snapToGrid w:val="0"/>
              <w:jc w:val="center"/>
              <w:rPr>
                <w:color w:val="000000"/>
                <w:kern w:val="0"/>
                <w:szCs w:val="21"/>
              </w:rPr>
            </w:pPr>
            <w:r>
              <w:rPr>
                <w:color w:val="000000"/>
                <w:kern w:val="0"/>
                <w:szCs w:val="21"/>
              </w:rPr>
              <w:t>1</w:t>
            </w:r>
          </w:p>
        </w:tc>
        <w:tc>
          <w:tcPr>
            <w:tcW w:w="710" w:type="dxa"/>
            <w:vAlign w:val="center"/>
          </w:tcPr>
          <w:p w14:paraId="01658BE0">
            <w:pPr>
              <w:adjustRightInd w:val="0"/>
              <w:snapToGrid w:val="0"/>
              <w:jc w:val="center"/>
              <w:rPr>
                <w:color w:val="000000"/>
                <w:kern w:val="0"/>
                <w:szCs w:val="21"/>
              </w:rPr>
            </w:pPr>
            <w:r>
              <w:rPr>
                <w:color w:val="000000"/>
                <w:kern w:val="0"/>
                <w:szCs w:val="21"/>
              </w:rPr>
              <w:t>75</w:t>
            </w:r>
          </w:p>
        </w:tc>
        <w:tc>
          <w:tcPr>
            <w:tcW w:w="922" w:type="dxa"/>
            <w:vAlign w:val="center"/>
          </w:tcPr>
          <w:p w14:paraId="1DDDEF54">
            <w:pPr>
              <w:adjustRightInd w:val="0"/>
              <w:snapToGrid w:val="0"/>
              <w:jc w:val="center"/>
              <w:rPr>
                <w:color w:val="000000"/>
                <w:kern w:val="0"/>
                <w:szCs w:val="21"/>
              </w:rPr>
            </w:pPr>
            <w:r>
              <w:rPr>
                <w:color w:val="000000"/>
                <w:kern w:val="0"/>
                <w:szCs w:val="21"/>
              </w:rPr>
              <w:t>3</w:t>
            </w:r>
          </w:p>
        </w:tc>
        <w:tc>
          <w:tcPr>
            <w:tcW w:w="930" w:type="dxa"/>
            <w:vAlign w:val="center"/>
          </w:tcPr>
          <w:p w14:paraId="2CBC6788">
            <w:pPr>
              <w:adjustRightInd w:val="0"/>
              <w:snapToGrid w:val="0"/>
              <w:jc w:val="center"/>
              <w:rPr>
                <w:color w:val="000000"/>
                <w:kern w:val="0"/>
                <w:szCs w:val="21"/>
              </w:rPr>
            </w:pPr>
            <w:r>
              <w:rPr>
                <w:color w:val="000000"/>
                <w:kern w:val="0"/>
                <w:szCs w:val="21"/>
              </w:rPr>
              <w:t>69.66</w:t>
            </w:r>
          </w:p>
        </w:tc>
        <w:tc>
          <w:tcPr>
            <w:tcW w:w="774" w:type="dxa"/>
            <w:vAlign w:val="center"/>
          </w:tcPr>
          <w:p w14:paraId="4A448DD6">
            <w:pPr>
              <w:adjustRightInd w:val="0"/>
              <w:snapToGrid w:val="0"/>
              <w:jc w:val="center"/>
              <w:rPr>
                <w:color w:val="000000"/>
                <w:kern w:val="0"/>
                <w:szCs w:val="21"/>
              </w:rPr>
            </w:pPr>
            <w:r>
              <w:rPr>
                <w:color w:val="000000"/>
                <w:kern w:val="0"/>
                <w:szCs w:val="21"/>
              </w:rPr>
              <w:t>1371</w:t>
            </w:r>
          </w:p>
        </w:tc>
      </w:tr>
      <w:tr w14:paraId="707D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jc w:val="center"/>
        </w:trPr>
        <w:tc>
          <w:tcPr>
            <w:tcW w:w="852" w:type="dxa"/>
            <w:vAlign w:val="center"/>
          </w:tcPr>
          <w:p w14:paraId="0A3C7200">
            <w:pPr>
              <w:adjustRightInd w:val="0"/>
              <w:snapToGrid w:val="0"/>
              <w:jc w:val="center"/>
              <w:rPr>
                <w:color w:val="000000"/>
                <w:kern w:val="0"/>
                <w:szCs w:val="21"/>
              </w:rPr>
            </w:pPr>
            <w:r>
              <w:rPr>
                <w:color w:val="000000"/>
                <w:kern w:val="0"/>
                <w:szCs w:val="21"/>
              </w:rPr>
              <w:t>生活型次干道</w:t>
            </w:r>
          </w:p>
        </w:tc>
        <w:tc>
          <w:tcPr>
            <w:tcW w:w="654" w:type="dxa"/>
            <w:vAlign w:val="center"/>
          </w:tcPr>
          <w:p w14:paraId="3959D2A7">
            <w:pPr>
              <w:adjustRightInd w:val="0"/>
              <w:snapToGrid w:val="0"/>
              <w:jc w:val="center"/>
              <w:rPr>
                <w:color w:val="000000"/>
                <w:kern w:val="0"/>
                <w:szCs w:val="21"/>
              </w:rPr>
            </w:pPr>
            <w:r>
              <w:rPr>
                <w:color w:val="000000"/>
                <w:kern w:val="0"/>
                <w:szCs w:val="21"/>
              </w:rPr>
              <w:t>70</w:t>
            </w:r>
          </w:p>
        </w:tc>
        <w:tc>
          <w:tcPr>
            <w:tcW w:w="871" w:type="dxa"/>
            <w:vAlign w:val="center"/>
          </w:tcPr>
          <w:p w14:paraId="6309D588">
            <w:pPr>
              <w:adjustRightInd w:val="0"/>
              <w:snapToGrid w:val="0"/>
              <w:jc w:val="center"/>
              <w:rPr>
                <w:color w:val="000000"/>
                <w:kern w:val="0"/>
                <w:szCs w:val="21"/>
              </w:rPr>
            </w:pPr>
            <w:r>
              <w:rPr>
                <w:color w:val="000000"/>
                <w:kern w:val="0"/>
                <w:szCs w:val="21"/>
              </w:rPr>
              <w:t>4</w:t>
            </w:r>
          </w:p>
        </w:tc>
        <w:tc>
          <w:tcPr>
            <w:tcW w:w="708" w:type="dxa"/>
            <w:vAlign w:val="center"/>
          </w:tcPr>
          <w:p w14:paraId="439C9F73">
            <w:pPr>
              <w:adjustRightInd w:val="0"/>
              <w:snapToGrid w:val="0"/>
              <w:jc w:val="center"/>
              <w:rPr>
                <w:color w:val="000000"/>
                <w:kern w:val="0"/>
                <w:szCs w:val="21"/>
              </w:rPr>
            </w:pPr>
            <w:r>
              <w:rPr>
                <w:color w:val="000000"/>
                <w:kern w:val="0"/>
                <w:szCs w:val="21"/>
              </w:rPr>
              <w:t>65</w:t>
            </w:r>
          </w:p>
        </w:tc>
        <w:tc>
          <w:tcPr>
            <w:tcW w:w="853" w:type="dxa"/>
            <w:vAlign w:val="center"/>
          </w:tcPr>
          <w:p w14:paraId="4B6188C6">
            <w:pPr>
              <w:adjustRightInd w:val="0"/>
              <w:snapToGrid w:val="0"/>
              <w:jc w:val="center"/>
              <w:rPr>
                <w:color w:val="000000"/>
                <w:kern w:val="0"/>
                <w:szCs w:val="21"/>
              </w:rPr>
            </w:pPr>
            <w:r>
              <w:rPr>
                <w:color w:val="000000"/>
                <w:kern w:val="0"/>
                <w:szCs w:val="21"/>
              </w:rPr>
              <w:t>4</w:t>
            </w:r>
          </w:p>
        </w:tc>
        <w:tc>
          <w:tcPr>
            <w:tcW w:w="708" w:type="dxa"/>
            <w:vAlign w:val="center"/>
          </w:tcPr>
          <w:p w14:paraId="651DD8ED">
            <w:pPr>
              <w:adjustRightInd w:val="0"/>
              <w:snapToGrid w:val="0"/>
              <w:jc w:val="center"/>
              <w:rPr>
                <w:color w:val="000000"/>
                <w:kern w:val="0"/>
                <w:szCs w:val="21"/>
              </w:rPr>
            </w:pPr>
            <w:r>
              <w:rPr>
                <w:color w:val="000000"/>
                <w:kern w:val="0"/>
                <w:szCs w:val="21"/>
              </w:rPr>
              <w:t>50</w:t>
            </w:r>
          </w:p>
        </w:tc>
        <w:tc>
          <w:tcPr>
            <w:tcW w:w="852" w:type="dxa"/>
            <w:vAlign w:val="center"/>
          </w:tcPr>
          <w:p w14:paraId="3FAF7AAD">
            <w:pPr>
              <w:adjustRightInd w:val="0"/>
              <w:snapToGrid w:val="0"/>
              <w:jc w:val="center"/>
              <w:rPr>
                <w:color w:val="000000"/>
                <w:kern w:val="0"/>
                <w:szCs w:val="21"/>
              </w:rPr>
            </w:pPr>
            <w:r>
              <w:rPr>
                <w:color w:val="000000"/>
                <w:kern w:val="0"/>
                <w:szCs w:val="21"/>
              </w:rPr>
              <w:t>4</w:t>
            </w:r>
          </w:p>
        </w:tc>
        <w:tc>
          <w:tcPr>
            <w:tcW w:w="710" w:type="dxa"/>
            <w:vAlign w:val="center"/>
          </w:tcPr>
          <w:p w14:paraId="53AAAE37">
            <w:pPr>
              <w:adjustRightInd w:val="0"/>
              <w:snapToGrid w:val="0"/>
              <w:jc w:val="center"/>
              <w:rPr>
                <w:color w:val="000000"/>
                <w:kern w:val="0"/>
                <w:szCs w:val="21"/>
              </w:rPr>
            </w:pPr>
            <w:r>
              <w:rPr>
                <w:color w:val="000000"/>
                <w:kern w:val="0"/>
                <w:szCs w:val="21"/>
              </w:rPr>
              <w:t>65</w:t>
            </w:r>
          </w:p>
        </w:tc>
        <w:tc>
          <w:tcPr>
            <w:tcW w:w="922" w:type="dxa"/>
            <w:vAlign w:val="center"/>
          </w:tcPr>
          <w:p w14:paraId="68AB8C4A">
            <w:pPr>
              <w:adjustRightInd w:val="0"/>
              <w:snapToGrid w:val="0"/>
              <w:jc w:val="center"/>
              <w:rPr>
                <w:color w:val="000000"/>
                <w:kern w:val="0"/>
                <w:szCs w:val="21"/>
              </w:rPr>
            </w:pPr>
            <w:r>
              <w:rPr>
                <w:color w:val="000000"/>
                <w:kern w:val="0"/>
                <w:szCs w:val="21"/>
              </w:rPr>
              <w:t>4</w:t>
            </w:r>
          </w:p>
        </w:tc>
        <w:tc>
          <w:tcPr>
            <w:tcW w:w="930" w:type="dxa"/>
            <w:vAlign w:val="center"/>
          </w:tcPr>
          <w:p w14:paraId="2C2D2DCE">
            <w:pPr>
              <w:adjustRightInd w:val="0"/>
              <w:snapToGrid w:val="0"/>
              <w:jc w:val="center"/>
              <w:rPr>
                <w:color w:val="000000"/>
                <w:kern w:val="0"/>
                <w:szCs w:val="21"/>
              </w:rPr>
            </w:pPr>
            <w:r>
              <w:rPr>
                <w:color w:val="000000"/>
                <w:kern w:val="0"/>
                <w:szCs w:val="21"/>
              </w:rPr>
              <w:t>49.53</w:t>
            </w:r>
          </w:p>
        </w:tc>
        <w:tc>
          <w:tcPr>
            <w:tcW w:w="774" w:type="dxa"/>
            <w:vAlign w:val="center"/>
          </w:tcPr>
          <w:p w14:paraId="5BDCEF5F">
            <w:pPr>
              <w:adjustRightInd w:val="0"/>
              <w:snapToGrid w:val="0"/>
              <w:jc w:val="center"/>
              <w:rPr>
                <w:color w:val="000000"/>
                <w:kern w:val="0"/>
                <w:szCs w:val="21"/>
              </w:rPr>
            </w:pPr>
            <w:r>
              <w:rPr>
                <w:color w:val="000000"/>
                <w:kern w:val="0"/>
                <w:szCs w:val="21"/>
              </w:rPr>
              <w:t>975</w:t>
            </w:r>
          </w:p>
        </w:tc>
      </w:tr>
      <w:tr w14:paraId="4360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jc w:val="center"/>
        </w:trPr>
        <w:tc>
          <w:tcPr>
            <w:tcW w:w="852" w:type="dxa"/>
            <w:vAlign w:val="center"/>
          </w:tcPr>
          <w:p w14:paraId="4B529EFD">
            <w:pPr>
              <w:adjustRightInd w:val="0"/>
              <w:snapToGrid w:val="0"/>
              <w:jc w:val="center"/>
              <w:rPr>
                <w:color w:val="000000"/>
                <w:kern w:val="0"/>
                <w:szCs w:val="21"/>
              </w:rPr>
            </w:pPr>
            <w:r>
              <w:rPr>
                <w:color w:val="000000"/>
                <w:kern w:val="0"/>
                <w:szCs w:val="21"/>
              </w:rPr>
              <w:t>支路</w:t>
            </w:r>
          </w:p>
        </w:tc>
        <w:tc>
          <w:tcPr>
            <w:tcW w:w="654" w:type="dxa"/>
            <w:vAlign w:val="center"/>
          </w:tcPr>
          <w:p w14:paraId="16658AAE">
            <w:pPr>
              <w:adjustRightInd w:val="0"/>
              <w:snapToGrid w:val="0"/>
              <w:jc w:val="center"/>
              <w:rPr>
                <w:color w:val="000000"/>
                <w:kern w:val="0"/>
                <w:szCs w:val="21"/>
              </w:rPr>
            </w:pPr>
            <w:r>
              <w:rPr>
                <w:color w:val="000000"/>
                <w:kern w:val="0"/>
                <w:szCs w:val="21"/>
              </w:rPr>
              <w:t>40</w:t>
            </w:r>
          </w:p>
        </w:tc>
        <w:tc>
          <w:tcPr>
            <w:tcW w:w="871" w:type="dxa"/>
            <w:vAlign w:val="center"/>
          </w:tcPr>
          <w:p w14:paraId="7143EE4B">
            <w:pPr>
              <w:adjustRightInd w:val="0"/>
              <w:snapToGrid w:val="0"/>
              <w:jc w:val="center"/>
              <w:rPr>
                <w:color w:val="000000"/>
                <w:kern w:val="0"/>
                <w:szCs w:val="21"/>
              </w:rPr>
            </w:pPr>
            <w:r>
              <w:rPr>
                <w:color w:val="000000"/>
                <w:kern w:val="0"/>
                <w:szCs w:val="21"/>
              </w:rPr>
              <w:t>5</w:t>
            </w:r>
          </w:p>
        </w:tc>
        <w:tc>
          <w:tcPr>
            <w:tcW w:w="708" w:type="dxa"/>
            <w:vAlign w:val="center"/>
          </w:tcPr>
          <w:p w14:paraId="64A30052">
            <w:pPr>
              <w:adjustRightInd w:val="0"/>
              <w:snapToGrid w:val="0"/>
              <w:jc w:val="center"/>
              <w:rPr>
                <w:color w:val="000000"/>
                <w:kern w:val="0"/>
                <w:szCs w:val="21"/>
              </w:rPr>
            </w:pPr>
            <w:r>
              <w:rPr>
                <w:color w:val="000000"/>
                <w:kern w:val="0"/>
                <w:szCs w:val="21"/>
              </w:rPr>
              <w:t>40</w:t>
            </w:r>
          </w:p>
        </w:tc>
        <w:tc>
          <w:tcPr>
            <w:tcW w:w="853" w:type="dxa"/>
            <w:vAlign w:val="center"/>
          </w:tcPr>
          <w:p w14:paraId="737B34E9">
            <w:pPr>
              <w:adjustRightInd w:val="0"/>
              <w:snapToGrid w:val="0"/>
              <w:jc w:val="center"/>
              <w:rPr>
                <w:color w:val="000000"/>
                <w:kern w:val="0"/>
                <w:szCs w:val="21"/>
              </w:rPr>
            </w:pPr>
            <w:r>
              <w:rPr>
                <w:color w:val="000000"/>
                <w:kern w:val="0"/>
                <w:szCs w:val="21"/>
              </w:rPr>
              <w:t>5</w:t>
            </w:r>
          </w:p>
        </w:tc>
        <w:tc>
          <w:tcPr>
            <w:tcW w:w="708" w:type="dxa"/>
            <w:vAlign w:val="center"/>
          </w:tcPr>
          <w:p w14:paraId="6CFF4672">
            <w:pPr>
              <w:adjustRightInd w:val="0"/>
              <w:snapToGrid w:val="0"/>
              <w:jc w:val="center"/>
              <w:rPr>
                <w:color w:val="000000"/>
                <w:kern w:val="0"/>
                <w:szCs w:val="21"/>
              </w:rPr>
            </w:pPr>
            <w:r>
              <w:rPr>
                <w:color w:val="000000"/>
                <w:kern w:val="0"/>
                <w:szCs w:val="21"/>
              </w:rPr>
              <w:t>30</w:t>
            </w:r>
          </w:p>
        </w:tc>
        <w:tc>
          <w:tcPr>
            <w:tcW w:w="852" w:type="dxa"/>
            <w:vAlign w:val="center"/>
          </w:tcPr>
          <w:p w14:paraId="1E17E73B">
            <w:pPr>
              <w:adjustRightInd w:val="0"/>
              <w:snapToGrid w:val="0"/>
              <w:jc w:val="center"/>
              <w:rPr>
                <w:color w:val="000000"/>
                <w:kern w:val="0"/>
                <w:szCs w:val="21"/>
              </w:rPr>
            </w:pPr>
            <w:r>
              <w:rPr>
                <w:color w:val="000000"/>
                <w:kern w:val="0"/>
                <w:szCs w:val="21"/>
              </w:rPr>
              <w:t>5</w:t>
            </w:r>
          </w:p>
        </w:tc>
        <w:tc>
          <w:tcPr>
            <w:tcW w:w="710" w:type="dxa"/>
            <w:vAlign w:val="center"/>
          </w:tcPr>
          <w:p w14:paraId="5F9BEB59">
            <w:pPr>
              <w:adjustRightInd w:val="0"/>
              <w:snapToGrid w:val="0"/>
              <w:jc w:val="center"/>
              <w:rPr>
                <w:color w:val="000000"/>
                <w:kern w:val="0"/>
                <w:szCs w:val="21"/>
              </w:rPr>
            </w:pPr>
            <w:r>
              <w:rPr>
                <w:color w:val="000000"/>
                <w:kern w:val="0"/>
                <w:szCs w:val="21"/>
              </w:rPr>
              <w:t>40</w:t>
            </w:r>
          </w:p>
        </w:tc>
        <w:tc>
          <w:tcPr>
            <w:tcW w:w="922" w:type="dxa"/>
            <w:vAlign w:val="center"/>
          </w:tcPr>
          <w:p w14:paraId="026D3A7A">
            <w:pPr>
              <w:adjustRightInd w:val="0"/>
              <w:snapToGrid w:val="0"/>
              <w:jc w:val="center"/>
              <w:rPr>
                <w:color w:val="000000"/>
                <w:kern w:val="0"/>
                <w:szCs w:val="21"/>
              </w:rPr>
            </w:pPr>
            <w:r>
              <w:rPr>
                <w:color w:val="000000"/>
                <w:kern w:val="0"/>
                <w:szCs w:val="21"/>
              </w:rPr>
              <w:t>5</w:t>
            </w:r>
          </w:p>
        </w:tc>
        <w:tc>
          <w:tcPr>
            <w:tcW w:w="930" w:type="dxa"/>
            <w:vAlign w:val="center"/>
          </w:tcPr>
          <w:p w14:paraId="4FD00F83">
            <w:pPr>
              <w:adjustRightInd w:val="0"/>
              <w:snapToGrid w:val="0"/>
              <w:jc w:val="center"/>
              <w:rPr>
                <w:color w:val="000000"/>
                <w:kern w:val="0"/>
                <w:szCs w:val="21"/>
              </w:rPr>
            </w:pPr>
            <w:r>
              <w:rPr>
                <w:color w:val="000000"/>
                <w:kern w:val="0"/>
                <w:szCs w:val="21"/>
              </w:rPr>
              <w:t>58.55</w:t>
            </w:r>
          </w:p>
        </w:tc>
        <w:tc>
          <w:tcPr>
            <w:tcW w:w="774" w:type="dxa"/>
            <w:vAlign w:val="center"/>
          </w:tcPr>
          <w:p w14:paraId="64FCBDB4">
            <w:pPr>
              <w:adjustRightInd w:val="0"/>
              <w:snapToGrid w:val="0"/>
              <w:jc w:val="center"/>
              <w:rPr>
                <w:color w:val="000000"/>
                <w:kern w:val="0"/>
                <w:szCs w:val="21"/>
              </w:rPr>
            </w:pPr>
            <w:r>
              <w:rPr>
                <w:color w:val="000000"/>
                <w:kern w:val="0"/>
                <w:szCs w:val="21"/>
              </w:rPr>
              <w:t>750</w:t>
            </w:r>
          </w:p>
        </w:tc>
      </w:tr>
    </w:tbl>
    <w:p w14:paraId="01128D9B">
      <w:pPr>
        <w:pStyle w:val="4"/>
        <w:widowControl w:val="0"/>
        <w:tabs>
          <w:tab w:val="left" w:pos="720"/>
        </w:tabs>
        <w:spacing w:before="120" w:after="120" w:line="500" w:lineRule="exact"/>
        <w:ind w:left="826" w:hanging="826"/>
        <w:jc w:val="both"/>
        <w:rPr>
          <w:rFonts w:ascii="宋体" w:hAnsi="宋体"/>
          <w:sz w:val="24"/>
          <w:szCs w:val="24"/>
        </w:rPr>
      </w:pPr>
      <w:bookmarkStart w:id="135" w:name="_Toc535399924"/>
      <w:bookmarkStart w:id="136" w:name="_Toc534833347"/>
      <w:bookmarkStart w:id="137" w:name="_Toc47384615"/>
      <w:r>
        <w:rPr>
          <w:rFonts w:hint="eastAsia" w:ascii="宋体" w:hAnsi="宋体"/>
          <w:sz w:val="24"/>
          <w:szCs w:val="24"/>
        </w:rPr>
        <w:t>3</w:t>
      </w:r>
      <w:r>
        <w:rPr>
          <w:rFonts w:ascii="宋体" w:hAnsi="宋体"/>
          <w:sz w:val="24"/>
          <w:szCs w:val="24"/>
        </w:rPr>
        <w:t>.3.10 排水条件</w:t>
      </w:r>
      <w:bookmarkEnd w:id="135"/>
      <w:bookmarkEnd w:id="136"/>
      <w:bookmarkEnd w:id="137"/>
    </w:p>
    <w:p w14:paraId="1CFCCF6E">
      <w:pPr>
        <w:spacing w:line="500" w:lineRule="exact"/>
        <w:ind w:firstLine="480" w:firstLineChars="200"/>
        <w:rPr>
          <w:sz w:val="24"/>
          <w:szCs w:val="22"/>
        </w:rPr>
      </w:pPr>
      <w:r>
        <w:rPr>
          <w:sz w:val="24"/>
          <w:szCs w:val="22"/>
        </w:rPr>
        <w:t>排出多余的农田地表水和地下水，控制地下水位可为改善农业生产的条件和保证高产稳产创造有利条件。因此，排水条件是农业耕作的重要因素，排水条件的好坏受田块的地形坡度、田块的排水设施的完善程度、当地的自然气候等有关。根据鄂州市2017年耕地质量更新评价数据库中获取的地下水位距地表的距离，将鄂州市国有农用地地下水埋深划分为三个等级。具体</w:t>
      </w:r>
      <w:r>
        <w:rPr>
          <w:rFonts w:hint="eastAsia"/>
          <w:sz w:val="24"/>
          <w:szCs w:val="22"/>
        </w:rPr>
        <w:t>见</w:t>
      </w:r>
      <w:r>
        <w:rPr>
          <w:sz w:val="24"/>
          <w:szCs w:val="22"/>
        </w:rPr>
        <w:t>表</w:t>
      </w:r>
      <w:r>
        <w:rPr>
          <w:rFonts w:hint="eastAsia"/>
          <w:sz w:val="24"/>
          <w:szCs w:val="22"/>
        </w:rPr>
        <w:t>3</w:t>
      </w:r>
      <w:r>
        <w:rPr>
          <w:sz w:val="24"/>
          <w:szCs w:val="22"/>
        </w:rPr>
        <w:t>-14</w:t>
      </w:r>
      <w:r>
        <w:rPr>
          <w:rFonts w:hint="eastAsia"/>
          <w:sz w:val="24"/>
          <w:szCs w:val="22"/>
        </w:rPr>
        <w:t>。</w:t>
      </w:r>
    </w:p>
    <w:p w14:paraId="1F3B96D0">
      <w:pPr>
        <w:ind w:firstLine="422"/>
        <w:jc w:val="center"/>
        <w:rPr>
          <w:b/>
          <w:szCs w:val="21"/>
        </w:rPr>
      </w:pPr>
      <w:r>
        <w:rPr>
          <w:b/>
          <w:szCs w:val="21"/>
        </w:rPr>
        <w:t>表3-14鄂州市定级单元排水条件等级表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9"/>
        <w:gridCol w:w="1422"/>
        <w:gridCol w:w="1341"/>
        <w:gridCol w:w="1613"/>
        <w:gridCol w:w="1611"/>
      </w:tblGrid>
      <w:tr w14:paraId="2337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09" w:type="dxa"/>
            <w:vAlign w:val="center"/>
          </w:tcPr>
          <w:p w14:paraId="177DDA16">
            <w:pPr>
              <w:jc w:val="center"/>
              <w:rPr>
                <w:b/>
                <w:color w:val="000000"/>
                <w:kern w:val="0"/>
                <w:szCs w:val="21"/>
              </w:rPr>
            </w:pPr>
            <w:r>
              <w:rPr>
                <w:b/>
                <w:color w:val="000000"/>
                <w:kern w:val="0"/>
                <w:szCs w:val="21"/>
              </w:rPr>
              <w:t>等级</w:t>
            </w:r>
          </w:p>
        </w:tc>
        <w:tc>
          <w:tcPr>
            <w:tcW w:w="1422" w:type="dxa"/>
            <w:vAlign w:val="center"/>
          </w:tcPr>
          <w:p w14:paraId="60E5AC99">
            <w:pPr>
              <w:jc w:val="center"/>
              <w:rPr>
                <w:b/>
                <w:color w:val="000000"/>
                <w:kern w:val="0"/>
                <w:szCs w:val="21"/>
              </w:rPr>
            </w:pPr>
            <w:r>
              <w:rPr>
                <w:b/>
                <w:color w:val="000000"/>
                <w:kern w:val="0"/>
                <w:szCs w:val="21"/>
              </w:rPr>
              <w:t>一级</w:t>
            </w:r>
          </w:p>
        </w:tc>
        <w:tc>
          <w:tcPr>
            <w:tcW w:w="1341" w:type="dxa"/>
            <w:vAlign w:val="center"/>
          </w:tcPr>
          <w:p w14:paraId="6CC956D1">
            <w:pPr>
              <w:jc w:val="center"/>
              <w:rPr>
                <w:b/>
                <w:color w:val="000000"/>
                <w:kern w:val="0"/>
                <w:szCs w:val="21"/>
              </w:rPr>
            </w:pPr>
            <w:r>
              <w:rPr>
                <w:b/>
                <w:color w:val="000000"/>
                <w:kern w:val="0"/>
                <w:szCs w:val="21"/>
              </w:rPr>
              <w:t>二级</w:t>
            </w:r>
          </w:p>
        </w:tc>
        <w:tc>
          <w:tcPr>
            <w:tcW w:w="1613" w:type="dxa"/>
            <w:vAlign w:val="center"/>
          </w:tcPr>
          <w:p w14:paraId="71FC6DA3">
            <w:pPr>
              <w:jc w:val="center"/>
              <w:rPr>
                <w:b/>
                <w:color w:val="000000"/>
                <w:kern w:val="0"/>
                <w:szCs w:val="21"/>
              </w:rPr>
            </w:pPr>
            <w:r>
              <w:rPr>
                <w:b/>
                <w:color w:val="000000"/>
                <w:kern w:val="0"/>
                <w:szCs w:val="21"/>
              </w:rPr>
              <w:t>三级</w:t>
            </w:r>
          </w:p>
        </w:tc>
        <w:tc>
          <w:tcPr>
            <w:tcW w:w="1611" w:type="dxa"/>
            <w:vAlign w:val="center"/>
          </w:tcPr>
          <w:p w14:paraId="2A583E2A">
            <w:pPr>
              <w:jc w:val="center"/>
              <w:rPr>
                <w:b/>
                <w:color w:val="000000"/>
                <w:kern w:val="0"/>
                <w:szCs w:val="21"/>
              </w:rPr>
            </w:pPr>
            <w:r>
              <w:rPr>
                <w:b/>
                <w:color w:val="000000"/>
                <w:kern w:val="0"/>
                <w:szCs w:val="21"/>
              </w:rPr>
              <w:t>四级</w:t>
            </w:r>
          </w:p>
        </w:tc>
      </w:tr>
      <w:tr w14:paraId="018C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09" w:type="dxa"/>
            <w:vAlign w:val="center"/>
          </w:tcPr>
          <w:p w14:paraId="2527B01D">
            <w:pPr>
              <w:jc w:val="center"/>
              <w:rPr>
                <w:color w:val="000000"/>
                <w:kern w:val="0"/>
                <w:szCs w:val="21"/>
              </w:rPr>
            </w:pPr>
            <w:r>
              <w:rPr>
                <w:szCs w:val="21"/>
              </w:rPr>
              <w:t>排水条件</w:t>
            </w:r>
          </w:p>
        </w:tc>
        <w:tc>
          <w:tcPr>
            <w:tcW w:w="1422" w:type="dxa"/>
            <w:vAlign w:val="center"/>
          </w:tcPr>
          <w:p w14:paraId="45DA9F6B">
            <w:pPr>
              <w:jc w:val="center"/>
              <w:rPr>
                <w:color w:val="000000"/>
                <w:kern w:val="0"/>
                <w:szCs w:val="21"/>
              </w:rPr>
            </w:pPr>
            <w:r>
              <w:rPr>
                <w:color w:val="000000"/>
                <w:kern w:val="0"/>
                <w:szCs w:val="21"/>
              </w:rPr>
              <w:t>良好</w:t>
            </w:r>
          </w:p>
        </w:tc>
        <w:tc>
          <w:tcPr>
            <w:tcW w:w="1341" w:type="dxa"/>
            <w:vAlign w:val="center"/>
          </w:tcPr>
          <w:p w14:paraId="0E9F3838">
            <w:pPr>
              <w:jc w:val="center"/>
              <w:rPr>
                <w:color w:val="000000"/>
                <w:kern w:val="0"/>
                <w:szCs w:val="21"/>
              </w:rPr>
            </w:pPr>
            <w:r>
              <w:rPr>
                <w:color w:val="000000"/>
                <w:szCs w:val="21"/>
              </w:rPr>
              <w:t>中</w:t>
            </w:r>
          </w:p>
        </w:tc>
        <w:tc>
          <w:tcPr>
            <w:tcW w:w="1613" w:type="dxa"/>
            <w:vAlign w:val="center"/>
          </w:tcPr>
          <w:p w14:paraId="49A6F051">
            <w:pPr>
              <w:jc w:val="center"/>
              <w:rPr>
                <w:color w:val="000000"/>
                <w:kern w:val="0"/>
                <w:szCs w:val="21"/>
              </w:rPr>
            </w:pPr>
            <w:r>
              <w:rPr>
                <w:color w:val="000000"/>
                <w:szCs w:val="21"/>
              </w:rPr>
              <w:t>较弱</w:t>
            </w:r>
          </w:p>
        </w:tc>
        <w:tc>
          <w:tcPr>
            <w:tcW w:w="1611" w:type="dxa"/>
            <w:vAlign w:val="center"/>
          </w:tcPr>
          <w:p w14:paraId="7BC3769E">
            <w:pPr>
              <w:jc w:val="center"/>
              <w:rPr>
                <w:color w:val="000000"/>
                <w:kern w:val="0"/>
                <w:szCs w:val="21"/>
              </w:rPr>
            </w:pPr>
            <w:r>
              <w:rPr>
                <w:color w:val="000000"/>
                <w:szCs w:val="21"/>
              </w:rPr>
              <w:t>无</w:t>
            </w:r>
          </w:p>
        </w:tc>
      </w:tr>
      <w:tr w14:paraId="1DDF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09" w:type="dxa"/>
            <w:vAlign w:val="center"/>
          </w:tcPr>
          <w:p w14:paraId="4AC73948">
            <w:pPr>
              <w:jc w:val="center"/>
              <w:rPr>
                <w:color w:val="000000"/>
                <w:szCs w:val="21"/>
              </w:rPr>
            </w:pPr>
            <w:r>
              <w:rPr>
                <w:color w:val="000000"/>
                <w:szCs w:val="21"/>
              </w:rPr>
              <w:t>分值</w:t>
            </w:r>
          </w:p>
        </w:tc>
        <w:tc>
          <w:tcPr>
            <w:tcW w:w="1422" w:type="dxa"/>
            <w:vAlign w:val="center"/>
          </w:tcPr>
          <w:p w14:paraId="7827C138">
            <w:pPr>
              <w:jc w:val="center"/>
              <w:rPr>
                <w:color w:val="000000"/>
                <w:kern w:val="0"/>
                <w:szCs w:val="21"/>
              </w:rPr>
            </w:pPr>
            <w:r>
              <w:rPr>
                <w:color w:val="000000"/>
                <w:kern w:val="0"/>
                <w:szCs w:val="21"/>
              </w:rPr>
              <w:t>100</w:t>
            </w:r>
          </w:p>
        </w:tc>
        <w:tc>
          <w:tcPr>
            <w:tcW w:w="1341" w:type="dxa"/>
            <w:vAlign w:val="center"/>
          </w:tcPr>
          <w:p w14:paraId="7CCF7E62">
            <w:pPr>
              <w:jc w:val="center"/>
              <w:rPr>
                <w:color w:val="000000"/>
                <w:szCs w:val="21"/>
              </w:rPr>
            </w:pPr>
            <w:r>
              <w:rPr>
                <w:color w:val="000000"/>
                <w:szCs w:val="21"/>
              </w:rPr>
              <w:t>90</w:t>
            </w:r>
          </w:p>
        </w:tc>
        <w:tc>
          <w:tcPr>
            <w:tcW w:w="1613" w:type="dxa"/>
            <w:vAlign w:val="center"/>
          </w:tcPr>
          <w:p w14:paraId="6465963F">
            <w:pPr>
              <w:jc w:val="center"/>
              <w:rPr>
                <w:color w:val="000000"/>
                <w:szCs w:val="21"/>
              </w:rPr>
            </w:pPr>
            <w:r>
              <w:rPr>
                <w:color w:val="000000"/>
                <w:szCs w:val="21"/>
              </w:rPr>
              <w:t>70</w:t>
            </w:r>
          </w:p>
        </w:tc>
        <w:tc>
          <w:tcPr>
            <w:tcW w:w="1611" w:type="dxa"/>
            <w:vAlign w:val="center"/>
          </w:tcPr>
          <w:p w14:paraId="71F7C635">
            <w:pPr>
              <w:jc w:val="center"/>
              <w:rPr>
                <w:color w:val="000000"/>
                <w:szCs w:val="21"/>
              </w:rPr>
            </w:pPr>
            <w:r>
              <w:rPr>
                <w:color w:val="000000"/>
                <w:szCs w:val="21"/>
              </w:rPr>
              <w:t>50</w:t>
            </w:r>
          </w:p>
        </w:tc>
      </w:tr>
    </w:tbl>
    <w:p w14:paraId="693678BE">
      <w:pPr>
        <w:pStyle w:val="4"/>
        <w:widowControl w:val="0"/>
        <w:tabs>
          <w:tab w:val="left" w:pos="720"/>
        </w:tabs>
        <w:spacing w:before="120" w:after="120" w:line="500" w:lineRule="exact"/>
        <w:ind w:left="826" w:hanging="826"/>
        <w:jc w:val="both"/>
        <w:rPr>
          <w:rFonts w:ascii="宋体" w:hAnsi="宋体"/>
          <w:sz w:val="24"/>
          <w:szCs w:val="24"/>
        </w:rPr>
      </w:pPr>
      <w:bookmarkStart w:id="138" w:name="_Toc535399925"/>
      <w:bookmarkStart w:id="139" w:name="_Toc47384616"/>
      <w:bookmarkStart w:id="140" w:name="_Toc534833348"/>
      <w:r>
        <w:rPr>
          <w:rFonts w:hint="eastAsia" w:ascii="宋体" w:hAnsi="宋体"/>
          <w:sz w:val="24"/>
          <w:szCs w:val="24"/>
        </w:rPr>
        <w:t>3</w:t>
      </w:r>
      <w:r>
        <w:rPr>
          <w:rFonts w:ascii="宋体" w:hAnsi="宋体"/>
          <w:sz w:val="24"/>
          <w:szCs w:val="24"/>
        </w:rPr>
        <w:t>.3.11灌溉保证率</w:t>
      </w:r>
      <w:bookmarkEnd w:id="138"/>
      <w:bookmarkEnd w:id="139"/>
      <w:bookmarkEnd w:id="140"/>
    </w:p>
    <w:p w14:paraId="4CF0C2AF">
      <w:pPr>
        <w:spacing w:line="500" w:lineRule="exact"/>
        <w:ind w:firstLine="480" w:firstLineChars="200"/>
        <w:rPr>
          <w:sz w:val="24"/>
          <w:szCs w:val="22"/>
        </w:rPr>
      </w:pPr>
      <w:r>
        <w:rPr>
          <w:sz w:val="24"/>
          <w:szCs w:val="22"/>
        </w:rPr>
        <w:t>灌溉保证率体现了区域灌溉用水量在多年灌溉过程中能够充分满足灌溉需求的年份的出现几率。根据鄂州市2017年耕地质量更新评价数据库中获取的灌溉保证率数据，将鄂州市国有农用地灌溉保证率划分为四个等级具体</w:t>
      </w:r>
      <w:r>
        <w:rPr>
          <w:rFonts w:hint="eastAsia"/>
          <w:sz w:val="24"/>
          <w:szCs w:val="22"/>
        </w:rPr>
        <w:t>见</w:t>
      </w:r>
      <w:r>
        <w:rPr>
          <w:sz w:val="24"/>
          <w:szCs w:val="22"/>
        </w:rPr>
        <w:t>表</w:t>
      </w:r>
      <w:r>
        <w:rPr>
          <w:rFonts w:hint="eastAsia"/>
          <w:sz w:val="24"/>
          <w:szCs w:val="22"/>
        </w:rPr>
        <w:t>3</w:t>
      </w:r>
      <w:r>
        <w:rPr>
          <w:sz w:val="24"/>
          <w:szCs w:val="22"/>
        </w:rPr>
        <w:t>-15</w:t>
      </w:r>
      <w:r>
        <w:rPr>
          <w:rFonts w:hint="eastAsia"/>
          <w:sz w:val="24"/>
          <w:szCs w:val="22"/>
        </w:rPr>
        <w:t>。</w:t>
      </w:r>
    </w:p>
    <w:p w14:paraId="70ADF280">
      <w:pPr>
        <w:spacing w:line="500" w:lineRule="exact"/>
        <w:ind w:firstLine="200"/>
        <w:jc w:val="center"/>
        <w:rPr>
          <w:b/>
          <w:szCs w:val="21"/>
        </w:rPr>
      </w:pPr>
      <w:r>
        <w:rPr>
          <w:b/>
          <w:szCs w:val="21"/>
        </w:rPr>
        <w:t>表3-15鄂州市定级单元灌溉保证率等级表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9"/>
        <w:gridCol w:w="1422"/>
        <w:gridCol w:w="1341"/>
        <w:gridCol w:w="1613"/>
        <w:gridCol w:w="1611"/>
      </w:tblGrid>
      <w:tr w14:paraId="21D3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09" w:type="dxa"/>
            <w:vAlign w:val="center"/>
          </w:tcPr>
          <w:p w14:paraId="44100A22">
            <w:pPr>
              <w:jc w:val="center"/>
              <w:rPr>
                <w:b/>
                <w:color w:val="000000"/>
                <w:kern w:val="0"/>
                <w:szCs w:val="21"/>
              </w:rPr>
            </w:pPr>
            <w:r>
              <w:rPr>
                <w:b/>
                <w:color w:val="000000"/>
                <w:kern w:val="0"/>
                <w:szCs w:val="21"/>
              </w:rPr>
              <w:t>等级</w:t>
            </w:r>
          </w:p>
        </w:tc>
        <w:tc>
          <w:tcPr>
            <w:tcW w:w="1422" w:type="dxa"/>
            <w:vAlign w:val="center"/>
          </w:tcPr>
          <w:p w14:paraId="0DC08C71">
            <w:pPr>
              <w:jc w:val="center"/>
              <w:rPr>
                <w:b/>
                <w:color w:val="000000"/>
                <w:kern w:val="0"/>
                <w:szCs w:val="21"/>
              </w:rPr>
            </w:pPr>
            <w:r>
              <w:rPr>
                <w:b/>
                <w:color w:val="000000"/>
                <w:kern w:val="0"/>
                <w:szCs w:val="21"/>
              </w:rPr>
              <w:t>一级</w:t>
            </w:r>
          </w:p>
        </w:tc>
        <w:tc>
          <w:tcPr>
            <w:tcW w:w="1341" w:type="dxa"/>
            <w:vAlign w:val="center"/>
          </w:tcPr>
          <w:p w14:paraId="156ACEC7">
            <w:pPr>
              <w:jc w:val="center"/>
              <w:rPr>
                <w:b/>
                <w:color w:val="000000"/>
                <w:kern w:val="0"/>
                <w:szCs w:val="21"/>
              </w:rPr>
            </w:pPr>
            <w:r>
              <w:rPr>
                <w:b/>
                <w:color w:val="000000"/>
                <w:kern w:val="0"/>
                <w:szCs w:val="21"/>
              </w:rPr>
              <w:t>二级</w:t>
            </w:r>
          </w:p>
        </w:tc>
        <w:tc>
          <w:tcPr>
            <w:tcW w:w="1613" w:type="dxa"/>
            <w:vAlign w:val="center"/>
          </w:tcPr>
          <w:p w14:paraId="1EC91965">
            <w:pPr>
              <w:jc w:val="center"/>
              <w:rPr>
                <w:b/>
                <w:color w:val="000000"/>
                <w:kern w:val="0"/>
                <w:szCs w:val="21"/>
              </w:rPr>
            </w:pPr>
            <w:r>
              <w:rPr>
                <w:b/>
                <w:color w:val="000000"/>
                <w:kern w:val="0"/>
                <w:szCs w:val="21"/>
              </w:rPr>
              <w:t>三级</w:t>
            </w:r>
          </w:p>
        </w:tc>
        <w:tc>
          <w:tcPr>
            <w:tcW w:w="1611" w:type="dxa"/>
            <w:vAlign w:val="center"/>
          </w:tcPr>
          <w:p w14:paraId="371C5220">
            <w:pPr>
              <w:jc w:val="center"/>
              <w:rPr>
                <w:b/>
                <w:color w:val="000000"/>
                <w:kern w:val="0"/>
                <w:szCs w:val="21"/>
              </w:rPr>
            </w:pPr>
            <w:r>
              <w:rPr>
                <w:b/>
                <w:color w:val="000000"/>
                <w:kern w:val="0"/>
                <w:szCs w:val="21"/>
              </w:rPr>
              <w:t>四级</w:t>
            </w:r>
          </w:p>
        </w:tc>
      </w:tr>
      <w:tr w14:paraId="48FC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09" w:type="dxa"/>
            <w:vAlign w:val="center"/>
          </w:tcPr>
          <w:p w14:paraId="063C49B2">
            <w:pPr>
              <w:jc w:val="center"/>
              <w:rPr>
                <w:color w:val="000000"/>
                <w:kern w:val="0"/>
                <w:szCs w:val="21"/>
              </w:rPr>
            </w:pPr>
            <w:r>
              <w:rPr>
                <w:szCs w:val="21"/>
              </w:rPr>
              <w:t>灌溉保证率</w:t>
            </w:r>
          </w:p>
        </w:tc>
        <w:tc>
          <w:tcPr>
            <w:tcW w:w="1422" w:type="dxa"/>
            <w:vAlign w:val="center"/>
          </w:tcPr>
          <w:p w14:paraId="3E68F360">
            <w:pPr>
              <w:jc w:val="center"/>
              <w:rPr>
                <w:color w:val="000000"/>
                <w:kern w:val="0"/>
                <w:szCs w:val="21"/>
              </w:rPr>
            </w:pPr>
            <w:r>
              <w:rPr>
                <w:color w:val="000000"/>
                <w:kern w:val="0"/>
                <w:szCs w:val="21"/>
              </w:rPr>
              <w:t>充分满足</w:t>
            </w:r>
          </w:p>
        </w:tc>
        <w:tc>
          <w:tcPr>
            <w:tcW w:w="1341" w:type="dxa"/>
            <w:vAlign w:val="center"/>
          </w:tcPr>
          <w:p w14:paraId="3401C55A">
            <w:pPr>
              <w:jc w:val="center"/>
              <w:rPr>
                <w:color w:val="000000"/>
                <w:kern w:val="0"/>
                <w:szCs w:val="21"/>
              </w:rPr>
            </w:pPr>
            <w:r>
              <w:rPr>
                <w:color w:val="000000"/>
                <w:szCs w:val="21"/>
              </w:rPr>
              <w:t>基本满足</w:t>
            </w:r>
          </w:p>
        </w:tc>
        <w:tc>
          <w:tcPr>
            <w:tcW w:w="1613" w:type="dxa"/>
            <w:vAlign w:val="center"/>
          </w:tcPr>
          <w:p w14:paraId="16FF1AA3">
            <w:pPr>
              <w:jc w:val="center"/>
              <w:rPr>
                <w:color w:val="000000"/>
                <w:kern w:val="0"/>
                <w:szCs w:val="21"/>
              </w:rPr>
            </w:pPr>
            <w:r>
              <w:rPr>
                <w:color w:val="000000"/>
                <w:szCs w:val="21"/>
              </w:rPr>
              <w:t>一般满足</w:t>
            </w:r>
          </w:p>
        </w:tc>
        <w:tc>
          <w:tcPr>
            <w:tcW w:w="1611" w:type="dxa"/>
            <w:vAlign w:val="center"/>
          </w:tcPr>
          <w:p w14:paraId="0F3F7F58">
            <w:pPr>
              <w:jc w:val="center"/>
              <w:rPr>
                <w:color w:val="000000"/>
                <w:kern w:val="0"/>
                <w:szCs w:val="21"/>
              </w:rPr>
            </w:pPr>
            <w:r>
              <w:rPr>
                <w:color w:val="000000"/>
                <w:szCs w:val="21"/>
              </w:rPr>
              <w:t>无灌溉条件</w:t>
            </w:r>
          </w:p>
        </w:tc>
      </w:tr>
      <w:tr w14:paraId="3D63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09" w:type="dxa"/>
            <w:vAlign w:val="center"/>
          </w:tcPr>
          <w:p w14:paraId="1006CB35">
            <w:pPr>
              <w:jc w:val="center"/>
              <w:rPr>
                <w:color w:val="000000"/>
                <w:szCs w:val="21"/>
              </w:rPr>
            </w:pPr>
            <w:r>
              <w:rPr>
                <w:color w:val="000000"/>
                <w:szCs w:val="21"/>
              </w:rPr>
              <w:t>分值</w:t>
            </w:r>
          </w:p>
        </w:tc>
        <w:tc>
          <w:tcPr>
            <w:tcW w:w="1422" w:type="dxa"/>
            <w:vAlign w:val="center"/>
          </w:tcPr>
          <w:p w14:paraId="6373D17E">
            <w:pPr>
              <w:jc w:val="center"/>
              <w:rPr>
                <w:color w:val="000000"/>
                <w:kern w:val="0"/>
                <w:szCs w:val="21"/>
              </w:rPr>
            </w:pPr>
            <w:r>
              <w:rPr>
                <w:color w:val="000000"/>
                <w:kern w:val="0"/>
                <w:szCs w:val="21"/>
              </w:rPr>
              <w:t>100</w:t>
            </w:r>
          </w:p>
        </w:tc>
        <w:tc>
          <w:tcPr>
            <w:tcW w:w="1341" w:type="dxa"/>
            <w:vAlign w:val="center"/>
          </w:tcPr>
          <w:p w14:paraId="5618D9A8">
            <w:pPr>
              <w:jc w:val="center"/>
              <w:rPr>
                <w:color w:val="000000"/>
                <w:szCs w:val="21"/>
              </w:rPr>
            </w:pPr>
            <w:r>
              <w:rPr>
                <w:color w:val="000000"/>
                <w:szCs w:val="21"/>
              </w:rPr>
              <w:t>80</w:t>
            </w:r>
          </w:p>
        </w:tc>
        <w:tc>
          <w:tcPr>
            <w:tcW w:w="1613" w:type="dxa"/>
            <w:vAlign w:val="center"/>
          </w:tcPr>
          <w:p w14:paraId="3FB42529">
            <w:pPr>
              <w:jc w:val="center"/>
              <w:rPr>
                <w:color w:val="000000"/>
                <w:szCs w:val="21"/>
              </w:rPr>
            </w:pPr>
            <w:r>
              <w:rPr>
                <w:color w:val="000000"/>
                <w:szCs w:val="21"/>
              </w:rPr>
              <w:t>50</w:t>
            </w:r>
          </w:p>
        </w:tc>
        <w:tc>
          <w:tcPr>
            <w:tcW w:w="1611" w:type="dxa"/>
            <w:vAlign w:val="center"/>
          </w:tcPr>
          <w:p w14:paraId="78197A9E">
            <w:pPr>
              <w:jc w:val="center"/>
              <w:rPr>
                <w:color w:val="000000"/>
                <w:szCs w:val="21"/>
              </w:rPr>
            </w:pPr>
            <w:r>
              <w:rPr>
                <w:color w:val="000000"/>
                <w:szCs w:val="21"/>
              </w:rPr>
              <w:t>20</w:t>
            </w:r>
          </w:p>
        </w:tc>
      </w:tr>
    </w:tbl>
    <w:p w14:paraId="71B1957F">
      <w:pPr>
        <w:pStyle w:val="4"/>
        <w:widowControl w:val="0"/>
        <w:tabs>
          <w:tab w:val="left" w:pos="720"/>
        </w:tabs>
        <w:spacing w:before="120" w:after="120" w:line="500" w:lineRule="exact"/>
        <w:ind w:left="826" w:hanging="826"/>
        <w:jc w:val="both"/>
        <w:rPr>
          <w:rFonts w:ascii="宋体" w:hAnsi="宋体"/>
          <w:sz w:val="24"/>
          <w:szCs w:val="24"/>
        </w:rPr>
      </w:pPr>
      <w:bookmarkStart w:id="141" w:name="_Toc534833349"/>
      <w:bookmarkStart w:id="142" w:name="_Toc535399926"/>
      <w:bookmarkStart w:id="143" w:name="_Toc47384617"/>
      <w:r>
        <w:rPr>
          <w:rFonts w:hint="eastAsia" w:ascii="宋体" w:hAnsi="宋体"/>
          <w:sz w:val="24"/>
          <w:szCs w:val="24"/>
        </w:rPr>
        <w:t>3</w:t>
      </w:r>
      <w:r>
        <w:rPr>
          <w:rFonts w:ascii="宋体" w:hAnsi="宋体"/>
          <w:sz w:val="24"/>
          <w:szCs w:val="24"/>
        </w:rPr>
        <w:t>.3.12亩均纯收益</w:t>
      </w:r>
      <w:bookmarkEnd w:id="141"/>
      <w:bookmarkEnd w:id="142"/>
      <w:bookmarkEnd w:id="143"/>
    </w:p>
    <w:p w14:paraId="6E4864DF">
      <w:pPr>
        <w:spacing w:line="500" w:lineRule="exact"/>
        <w:ind w:firstLine="480" w:firstLineChars="200"/>
        <w:rPr>
          <w:sz w:val="24"/>
          <w:szCs w:val="22"/>
        </w:rPr>
      </w:pPr>
      <w:r>
        <w:rPr>
          <w:sz w:val="24"/>
          <w:szCs w:val="22"/>
        </w:rPr>
        <w:t>根据鄂州市</w:t>
      </w:r>
      <w:r>
        <w:rPr>
          <w:rFonts w:ascii="宋体" w:hAnsi="宋体"/>
          <w:sz w:val="24"/>
        </w:rPr>
        <w:t>国有农用地</w:t>
      </w:r>
      <w:r>
        <w:rPr>
          <w:sz w:val="24"/>
          <w:szCs w:val="22"/>
        </w:rPr>
        <w:t>主要作物的年产值与不同作物的种植成本，对</w:t>
      </w:r>
      <w:r>
        <w:rPr>
          <w:rFonts w:ascii="宋体" w:hAnsi="宋体"/>
          <w:sz w:val="24"/>
        </w:rPr>
        <w:t>国有农用地</w:t>
      </w:r>
      <w:r>
        <w:rPr>
          <w:sz w:val="24"/>
          <w:szCs w:val="22"/>
        </w:rPr>
        <w:t>亩均纯收益进行测算。</w:t>
      </w:r>
    </w:p>
    <w:p w14:paraId="2247A7CD">
      <w:pPr>
        <w:pStyle w:val="180"/>
        <w:ind w:firstLine="480"/>
      </w:pPr>
      <w:r>
        <w:rPr>
          <w:rFonts w:hint="eastAsia"/>
        </w:rPr>
        <w:t>（</w:t>
      </w:r>
      <w:r>
        <w:t>1</w:t>
      </w:r>
      <w:r>
        <w:rPr>
          <w:rFonts w:hint="eastAsia"/>
        </w:rPr>
        <w:t>）</w:t>
      </w:r>
      <w:r>
        <w:t>主要农作物年产量的确定</w:t>
      </w:r>
    </w:p>
    <w:p w14:paraId="69C78555">
      <w:pPr>
        <w:spacing w:line="500" w:lineRule="exact"/>
        <w:ind w:firstLine="480" w:firstLineChars="200"/>
        <w:rPr>
          <w:sz w:val="24"/>
          <w:szCs w:val="22"/>
        </w:rPr>
      </w:pPr>
      <w:r>
        <w:rPr>
          <w:sz w:val="24"/>
          <w:szCs w:val="22"/>
        </w:rPr>
        <w:t>根据</w:t>
      </w:r>
      <w:r>
        <w:rPr>
          <w:rFonts w:hint="eastAsia"/>
          <w:sz w:val="24"/>
          <w:szCs w:val="22"/>
        </w:rPr>
        <w:t>鄂州市</w:t>
      </w:r>
      <w:r>
        <w:rPr>
          <w:sz w:val="24"/>
          <w:szCs w:val="22"/>
        </w:rPr>
        <w:t>统计年鉴的数据资料，结合实地调查并咨询当地农业部门，</w:t>
      </w:r>
      <w:r>
        <w:rPr>
          <w:rFonts w:hint="eastAsia"/>
          <w:sz w:val="24"/>
          <w:szCs w:val="22"/>
        </w:rPr>
        <w:t>鄂州市</w:t>
      </w:r>
      <w:r>
        <w:rPr>
          <w:sz w:val="24"/>
          <w:szCs w:val="22"/>
        </w:rPr>
        <w:t>占主导地位的耕作制度为“油菜-中稻”，在这种主导耕作制度下的2015年～2017年主要农作物的平均亩产量见表3-16</w:t>
      </w:r>
      <w:r>
        <w:rPr>
          <w:rFonts w:hint="eastAsia"/>
          <w:sz w:val="24"/>
          <w:szCs w:val="22"/>
        </w:rPr>
        <w:t>。</w:t>
      </w:r>
    </w:p>
    <w:p w14:paraId="1C4C2456">
      <w:pPr>
        <w:snapToGrid w:val="0"/>
        <w:spacing w:line="360" w:lineRule="auto"/>
        <w:ind w:firstLine="422" w:firstLineChars="200"/>
        <w:jc w:val="center"/>
        <w:rPr>
          <w:sz w:val="24"/>
          <w:szCs w:val="22"/>
        </w:rPr>
      </w:pPr>
      <w:r>
        <w:rPr>
          <w:b/>
          <w:snapToGrid w:val="0"/>
          <w:szCs w:val="21"/>
        </w:rPr>
        <w:t>表3-16 鄂州市2015-2017年各</w:t>
      </w:r>
      <w:r>
        <w:rPr>
          <w:rFonts w:hint="eastAsia"/>
          <w:b/>
          <w:snapToGrid w:val="0"/>
          <w:szCs w:val="21"/>
        </w:rPr>
        <w:t>级别</w:t>
      </w:r>
      <w:r>
        <w:rPr>
          <w:b/>
          <w:snapToGrid w:val="0"/>
          <w:szCs w:val="21"/>
        </w:rPr>
        <w:t>主要作物平均产量</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2037"/>
        <w:gridCol w:w="1283"/>
        <w:gridCol w:w="1057"/>
        <w:gridCol w:w="1055"/>
        <w:gridCol w:w="1053"/>
      </w:tblGrid>
      <w:tr w14:paraId="60A6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pct"/>
            <w:gridSpan w:val="2"/>
          </w:tcPr>
          <w:p w14:paraId="11D08C3E">
            <w:pPr>
              <w:jc w:val="center"/>
            </w:pPr>
            <w:r>
              <w:t>级别</w:t>
            </w:r>
          </w:p>
        </w:tc>
        <w:tc>
          <w:tcPr>
            <w:tcW w:w="1373" w:type="pct"/>
            <w:gridSpan w:val="2"/>
          </w:tcPr>
          <w:p w14:paraId="6B7E1419">
            <w:pPr>
              <w:jc w:val="center"/>
            </w:pPr>
            <w:r>
              <w:rPr>
                <w:rFonts w:hint="eastAsia" w:ascii="宋体" w:hAnsi="宋体" w:cs="宋体"/>
              </w:rPr>
              <w:t>Ⅰ</w:t>
            </w:r>
            <w:r>
              <w:t>级</w:t>
            </w:r>
          </w:p>
        </w:tc>
        <w:tc>
          <w:tcPr>
            <w:tcW w:w="1237" w:type="pct"/>
            <w:gridSpan w:val="2"/>
          </w:tcPr>
          <w:p w14:paraId="50AAAB52">
            <w:pPr>
              <w:jc w:val="center"/>
            </w:pPr>
            <w:r>
              <w:rPr>
                <w:rFonts w:hint="eastAsia" w:ascii="宋体" w:hAnsi="宋体" w:cs="宋体"/>
              </w:rPr>
              <w:t>Ⅱ</w:t>
            </w:r>
            <w:r>
              <w:t>级</w:t>
            </w:r>
          </w:p>
        </w:tc>
      </w:tr>
      <w:tr w14:paraId="40AB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pct"/>
            <w:gridSpan w:val="2"/>
          </w:tcPr>
          <w:p w14:paraId="1EC69B10">
            <w:pPr>
              <w:jc w:val="center"/>
            </w:pPr>
            <w:r>
              <w:t>作物</w:t>
            </w:r>
          </w:p>
        </w:tc>
        <w:tc>
          <w:tcPr>
            <w:tcW w:w="753" w:type="pct"/>
          </w:tcPr>
          <w:p w14:paraId="4ABAA8DD">
            <w:pPr>
              <w:jc w:val="center"/>
            </w:pPr>
            <w:r>
              <w:t>中稻</w:t>
            </w:r>
          </w:p>
        </w:tc>
        <w:tc>
          <w:tcPr>
            <w:tcW w:w="620" w:type="pct"/>
          </w:tcPr>
          <w:p w14:paraId="787CBC2F">
            <w:pPr>
              <w:jc w:val="center"/>
            </w:pPr>
            <w:r>
              <w:t>油菜</w:t>
            </w:r>
          </w:p>
        </w:tc>
        <w:tc>
          <w:tcPr>
            <w:tcW w:w="619" w:type="pct"/>
          </w:tcPr>
          <w:p w14:paraId="32B01CB2">
            <w:pPr>
              <w:jc w:val="center"/>
            </w:pPr>
            <w:r>
              <w:t>中稻</w:t>
            </w:r>
          </w:p>
        </w:tc>
        <w:tc>
          <w:tcPr>
            <w:tcW w:w="618" w:type="pct"/>
          </w:tcPr>
          <w:p w14:paraId="35E1C0CD">
            <w:pPr>
              <w:jc w:val="center"/>
            </w:pPr>
            <w:r>
              <w:t>油菜</w:t>
            </w:r>
          </w:p>
        </w:tc>
      </w:tr>
      <w:tr w14:paraId="4044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pct"/>
            <w:vMerge w:val="restart"/>
            <w:vAlign w:val="center"/>
          </w:tcPr>
          <w:p w14:paraId="054D2113">
            <w:pPr>
              <w:jc w:val="center"/>
            </w:pPr>
            <w:r>
              <w:t>产量（kg/亩）</w:t>
            </w:r>
          </w:p>
        </w:tc>
        <w:tc>
          <w:tcPr>
            <w:tcW w:w="1195" w:type="pct"/>
            <w:vAlign w:val="center"/>
          </w:tcPr>
          <w:p w14:paraId="41D175B4">
            <w:pPr>
              <w:jc w:val="center"/>
            </w:pPr>
            <w:r>
              <w:t>最大值</w:t>
            </w:r>
          </w:p>
        </w:tc>
        <w:tc>
          <w:tcPr>
            <w:tcW w:w="753" w:type="pct"/>
          </w:tcPr>
          <w:p w14:paraId="5AC33EA5">
            <w:pPr>
              <w:jc w:val="center"/>
            </w:pPr>
            <w:r>
              <w:t>605</w:t>
            </w:r>
          </w:p>
        </w:tc>
        <w:tc>
          <w:tcPr>
            <w:tcW w:w="620" w:type="pct"/>
          </w:tcPr>
          <w:p w14:paraId="1CDE92F2">
            <w:pPr>
              <w:jc w:val="center"/>
            </w:pPr>
            <w:r>
              <w:t>206</w:t>
            </w:r>
          </w:p>
        </w:tc>
        <w:tc>
          <w:tcPr>
            <w:tcW w:w="619" w:type="pct"/>
          </w:tcPr>
          <w:p w14:paraId="35CE73A9">
            <w:pPr>
              <w:jc w:val="center"/>
            </w:pPr>
            <w:r>
              <w:t>558</w:t>
            </w:r>
          </w:p>
        </w:tc>
        <w:tc>
          <w:tcPr>
            <w:tcW w:w="618" w:type="pct"/>
          </w:tcPr>
          <w:p w14:paraId="48C2B04D">
            <w:pPr>
              <w:jc w:val="center"/>
            </w:pPr>
            <w:r>
              <w:t>187</w:t>
            </w:r>
          </w:p>
        </w:tc>
      </w:tr>
      <w:tr w14:paraId="0A84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pct"/>
            <w:vMerge w:val="continue"/>
            <w:vAlign w:val="center"/>
          </w:tcPr>
          <w:p w14:paraId="06854780">
            <w:pPr>
              <w:jc w:val="center"/>
            </w:pPr>
          </w:p>
        </w:tc>
        <w:tc>
          <w:tcPr>
            <w:tcW w:w="1195" w:type="pct"/>
            <w:vAlign w:val="center"/>
          </w:tcPr>
          <w:p w14:paraId="5C952A89">
            <w:pPr>
              <w:jc w:val="center"/>
            </w:pPr>
            <w:r>
              <w:t>最小值</w:t>
            </w:r>
          </w:p>
        </w:tc>
        <w:tc>
          <w:tcPr>
            <w:tcW w:w="753" w:type="pct"/>
          </w:tcPr>
          <w:p w14:paraId="250C2940">
            <w:pPr>
              <w:jc w:val="center"/>
            </w:pPr>
            <w:r>
              <w:t>488</w:t>
            </w:r>
          </w:p>
        </w:tc>
        <w:tc>
          <w:tcPr>
            <w:tcW w:w="620" w:type="pct"/>
          </w:tcPr>
          <w:p w14:paraId="1B422EFE">
            <w:pPr>
              <w:jc w:val="center"/>
            </w:pPr>
            <w:r>
              <w:t>144</w:t>
            </w:r>
          </w:p>
        </w:tc>
        <w:tc>
          <w:tcPr>
            <w:tcW w:w="619" w:type="pct"/>
          </w:tcPr>
          <w:p w14:paraId="77B3B435">
            <w:pPr>
              <w:jc w:val="center"/>
            </w:pPr>
            <w:r>
              <w:t>424</w:t>
            </w:r>
          </w:p>
        </w:tc>
        <w:tc>
          <w:tcPr>
            <w:tcW w:w="618" w:type="pct"/>
          </w:tcPr>
          <w:p w14:paraId="0AC9CB09">
            <w:pPr>
              <w:jc w:val="center"/>
            </w:pPr>
            <w:r>
              <w:t>119</w:t>
            </w:r>
          </w:p>
        </w:tc>
      </w:tr>
      <w:tr w14:paraId="0755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pct"/>
            <w:vMerge w:val="continue"/>
            <w:vAlign w:val="center"/>
          </w:tcPr>
          <w:p w14:paraId="27E7B8CA">
            <w:pPr>
              <w:jc w:val="center"/>
            </w:pPr>
          </w:p>
        </w:tc>
        <w:tc>
          <w:tcPr>
            <w:tcW w:w="1195" w:type="pct"/>
            <w:vAlign w:val="center"/>
          </w:tcPr>
          <w:p w14:paraId="05F1D12A">
            <w:pPr>
              <w:jc w:val="center"/>
            </w:pPr>
            <w:r>
              <w:t>均值</w:t>
            </w:r>
          </w:p>
        </w:tc>
        <w:tc>
          <w:tcPr>
            <w:tcW w:w="753" w:type="pct"/>
          </w:tcPr>
          <w:p w14:paraId="798C7B56">
            <w:pPr>
              <w:jc w:val="center"/>
            </w:pPr>
            <w:r>
              <w:t>540</w:t>
            </w:r>
          </w:p>
        </w:tc>
        <w:tc>
          <w:tcPr>
            <w:tcW w:w="620" w:type="pct"/>
          </w:tcPr>
          <w:p w14:paraId="7563A71C">
            <w:pPr>
              <w:jc w:val="center"/>
            </w:pPr>
            <w:r>
              <w:t>176</w:t>
            </w:r>
          </w:p>
        </w:tc>
        <w:tc>
          <w:tcPr>
            <w:tcW w:w="619" w:type="pct"/>
          </w:tcPr>
          <w:p w14:paraId="24A2B069">
            <w:pPr>
              <w:jc w:val="center"/>
            </w:pPr>
            <w:r>
              <w:t>498</w:t>
            </w:r>
          </w:p>
        </w:tc>
        <w:tc>
          <w:tcPr>
            <w:tcW w:w="618" w:type="pct"/>
          </w:tcPr>
          <w:p w14:paraId="2CDC564F">
            <w:pPr>
              <w:jc w:val="center"/>
            </w:pPr>
            <w:r>
              <w:t>152</w:t>
            </w:r>
          </w:p>
        </w:tc>
      </w:tr>
    </w:tbl>
    <w:p w14:paraId="4E0DA83E">
      <w:pPr>
        <w:pStyle w:val="180"/>
        <w:ind w:firstLine="480"/>
      </w:pPr>
      <w:r>
        <w:rPr>
          <w:rFonts w:hint="eastAsia"/>
        </w:rPr>
        <w:t>（2）</w:t>
      </w:r>
      <w:r>
        <w:t>主要农作物价格的确定</w:t>
      </w:r>
    </w:p>
    <w:p w14:paraId="0D1E471C">
      <w:pPr>
        <w:snapToGrid w:val="0"/>
        <w:spacing w:before="156" w:beforeLines="50"/>
        <w:ind w:firstLine="480" w:firstLineChars="200"/>
        <w:rPr>
          <w:sz w:val="24"/>
          <w:szCs w:val="22"/>
        </w:rPr>
      </w:pPr>
      <w:r>
        <w:rPr>
          <w:sz w:val="24"/>
          <w:szCs w:val="22"/>
        </w:rPr>
        <w:t>根据资料收集，鄂州市主要农作物近三年的价格见表3-17、3-18、3-19。</w:t>
      </w:r>
    </w:p>
    <w:p w14:paraId="2DD3A7CD">
      <w:pPr>
        <w:snapToGrid w:val="0"/>
        <w:spacing w:before="156" w:beforeLines="50"/>
        <w:ind w:firstLine="422"/>
        <w:jc w:val="center"/>
        <w:rPr>
          <w:b/>
          <w:snapToGrid w:val="0"/>
          <w:szCs w:val="21"/>
        </w:rPr>
      </w:pPr>
      <w:r>
        <w:rPr>
          <w:b/>
          <w:snapToGrid w:val="0"/>
          <w:szCs w:val="21"/>
        </w:rPr>
        <w:t>表3-17</w:t>
      </w:r>
      <w:r>
        <w:rPr>
          <w:rFonts w:hint="eastAsia"/>
          <w:b/>
          <w:bCs/>
          <w:szCs w:val="21"/>
        </w:rPr>
        <w:t>鄂城区</w:t>
      </w:r>
      <w:r>
        <w:rPr>
          <w:b/>
          <w:snapToGrid w:val="0"/>
          <w:szCs w:val="21"/>
        </w:rPr>
        <w:t>2015-2017年油菜-中稻价格表</w:t>
      </w:r>
    </w:p>
    <w:tbl>
      <w:tblPr>
        <w:tblStyle w:val="3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2940"/>
        <w:gridCol w:w="1986"/>
        <w:gridCol w:w="1988"/>
      </w:tblGrid>
      <w:tr w14:paraId="3B53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4044EC3D">
            <w:pPr>
              <w:adjustRightInd w:val="0"/>
              <w:snapToGrid w:val="0"/>
              <w:jc w:val="center"/>
              <w:rPr>
                <w:b/>
                <w:szCs w:val="21"/>
              </w:rPr>
            </w:pPr>
            <w:r>
              <w:rPr>
                <w:b/>
                <w:szCs w:val="21"/>
              </w:rPr>
              <w:t>年份</w:t>
            </w:r>
          </w:p>
        </w:tc>
        <w:tc>
          <w:tcPr>
            <w:tcW w:w="2940" w:type="dxa"/>
            <w:tcBorders>
              <w:top w:val="single" w:color="auto" w:sz="4" w:space="0"/>
              <w:left w:val="nil"/>
              <w:bottom w:val="single" w:color="auto" w:sz="4" w:space="0"/>
              <w:right w:val="single" w:color="auto" w:sz="4" w:space="0"/>
            </w:tcBorders>
            <w:shd w:val="clear" w:color="auto" w:fill="auto"/>
            <w:vAlign w:val="center"/>
          </w:tcPr>
          <w:p w14:paraId="7C7E5C46">
            <w:pPr>
              <w:adjustRightInd w:val="0"/>
              <w:snapToGrid w:val="0"/>
              <w:jc w:val="center"/>
              <w:rPr>
                <w:b/>
                <w:szCs w:val="21"/>
              </w:rPr>
            </w:pPr>
            <w:r>
              <w:rPr>
                <w:b/>
                <w:szCs w:val="21"/>
              </w:rPr>
              <w:t>价格类型</w:t>
            </w:r>
          </w:p>
        </w:tc>
        <w:tc>
          <w:tcPr>
            <w:tcW w:w="1986" w:type="dxa"/>
            <w:tcBorders>
              <w:top w:val="single" w:color="auto" w:sz="4" w:space="0"/>
              <w:left w:val="nil"/>
              <w:bottom w:val="single" w:color="auto" w:sz="4" w:space="0"/>
              <w:right w:val="single" w:color="auto" w:sz="4" w:space="0"/>
            </w:tcBorders>
            <w:shd w:val="clear" w:color="auto" w:fill="auto"/>
            <w:vAlign w:val="center"/>
          </w:tcPr>
          <w:p w14:paraId="63733D1A">
            <w:pPr>
              <w:adjustRightInd w:val="0"/>
              <w:snapToGrid w:val="0"/>
              <w:jc w:val="center"/>
              <w:rPr>
                <w:b/>
                <w:szCs w:val="21"/>
              </w:rPr>
            </w:pPr>
            <w:r>
              <w:rPr>
                <w:b/>
                <w:szCs w:val="21"/>
              </w:rPr>
              <w:t>油菜(元/公斤)</w:t>
            </w:r>
          </w:p>
        </w:tc>
        <w:tc>
          <w:tcPr>
            <w:tcW w:w="1988" w:type="dxa"/>
            <w:tcBorders>
              <w:top w:val="single" w:color="auto" w:sz="4" w:space="0"/>
              <w:left w:val="nil"/>
              <w:bottom w:val="single" w:color="auto" w:sz="4" w:space="0"/>
              <w:right w:val="single" w:color="auto" w:sz="4" w:space="0"/>
            </w:tcBorders>
            <w:shd w:val="clear" w:color="auto" w:fill="auto"/>
            <w:vAlign w:val="center"/>
          </w:tcPr>
          <w:p w14:paraId="62FE6865">
            <w:pPr>
              <w:adjustRightInd w:val="0"/>
              <w:snapToGrid w:val="0"/>
              <w:jc w:val="center"/>
              <w:rPr>
                <w:b/>
                <w:szCs w:val="21"/>
              </w:rPr>
            </w:pPr>
            <w:r>
              <w:rPr>
                <w:b/>
                <w:szCs w:val="21"/>
              </w:rPr>
              <w:t>中稻(元/公斤)</w:t>
            </w:r>
          </w:p>
        </w:tc>
      </w:tr>
      <w:tr w14:paraId="3835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Merge w:val="restart"/>
            <w:tcBorders>
              <w:top w:val="nil"/>
              <w:left w:val="single" w:color="auto" w:sz="4" w:space="0"/>
              <w:bottom w:val="single" w:color="auto" w:sz="4" w:space="0"/>
              <w:right w:val="single" w:color="auto" w:sz="4" w:space="0"/>
            </w:tcBorders>
            <w:shd w:val="clear" w:color="auto" w:fill="auto"/>
            <w:vAlign w:val="center"/>
          </w:tcPr>
          <w:p w14:paraId="652ED664">
            <w:pPr>
              <w:adjustRightInd w:val="0"/>
              <w:snapToGrid w:val="0"/>
              <w:jc w:val="center"/>
              <w:rPr>
                <w:szCs w:val="21"/>
              </w:rPr>
            </w:pPr>
            <w:r>
              <w:rPr>
                <w:szCs w:val="21"/>
              </w:rPr>
              <w:t>2015</w:t>
            </w:r>
          </w:p>
        </w:tc>
        <w:tc>
          <w:tcPr>
            <w:tcW w:w="2940" w:type="dxa"/>
            <w:tcBorders>
              <w:top w:val="single" w:color="auto" w:sz="4" w:space="0"/>
              <w:left w:val="nil"/>
              <w:bottom w:val="single" w:color="auto" w:sz="4" w:space="0"/>
              <w:right w:val="single" w:color="auto" w:sz="4" w:space="0"/>
            </w:tcBorders>
            <w:shd w:val="clear" w:color="auto" w:fill="auto"/>
            <w:vAlign w:val="center"/>
          </w:tcPr>
          <w:p w14:paraId="77967DCD">
            <w:pPr>
              <w:adjustRightInd w:val="0"/>
              <w:snapToGrid w:val="0"/>
              <w:jc w:val="center"/>
              <w:rPr>
                <w:szCs w:val="21"/>
              </w:rPr>
            </w:pPr>
            <w:r>
              <w:rPr>
                <w:szCs w:val="21"/>
              </w:rPr>
              <w:t>国家收购价</w:t>
            </w:r>
          </w:p>
        </w:tc>
        <w:tc>
          <w:tcPr>
            <w:tcW w:w="1986" w:type="dxa"/>
            <w:tcBorders>
              <w:top w:val="single" w:color="auto" w:sz="4" w:space="0"/>
              <w:left w:val="nil"/>
              <w:bottom w:val="single" w:color="auto" w:sz="4" w:space="0"/>
              <w:right w:val="single" w:color="auto" w:sz="4" w:space="0"/>
            </w:tcBorders>
            <w:shd w:val="clear" w:color="auto" w:fill="auto"/>
          </w:tcPr>
          <w:p w14:paraId="2DE22B13">
            <w:pPr>
              <w:jc w:val="center"/>
              <w:rPr>
                <w:szCs w:val="21"/>
              </w:rPr>
            </w:pPr>
            <w:r>
              <w:rPr>
                <w:szCs w:val="21"/>
              </w:rPr>
              <w:t>4.20</w:t>
            </w:r>
          </w:p>
        </w:tc>
        <w:tc>
          <w:tcPr>
            <w:tcW w:w="1988" w:type="dxa"/>
            <w:tcBorders>
              <w:top w:val="single" w:color="auto" w:sz="4" w:space="0"/>
              <w:left w:val="nil"/>
              <w:bottom w:val="single" w:color="auto" w:sz="4" w:space="0"/>
              <w:right w:val="single" w:color="auto" w:sz="4" w:space="0"/>
            </w:tcBorders>
            <w:shd w:val="clear" w:color="auto" w:fill="auto"/>
          </w:tcPr>
          <w:p w14:paraId="2527C134">
            <w:pPr>
              <w:jc w:val="center"/>
              <w:rPr>
                <w:szCs w:val="21"/>
              </w:rPr>
            </w:pPr>
            <w:r>
              <w:rPr>
                <w:szCs w:val="21"/>
              </w:rPr>
              <w:t>1.94</w:t>
            </w:r>
          </w:p>
        </w:tc>
      </w:tr>
      <w:tr w14:paraId="177C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Merge w:val="continue"/>
            <w:tcBorders>
              <w:top w:val="nil"/>
              <w:left w:val="single" w:color="auto" w:sz="4" w:space="0"/>
              <w:bottom w:val="single" w:color="auto" w:sz="4" w:space="0"/>
              <w:right w:val="single" w:color="auto" w:sz="4" w:space="0"/>
            </w:tcBorders>
            <w:shd w:val="clear" w:color="auto" w:fill="auto"/>
            <w:vAlign w:val="center"/>
          </w:tcPr>
          <w:p w14:paraId="69C6545B">
            <w:pPr>
              <w:snapToGrid w:val="0"/>
              <w:ind w:firstLine="420" w:firstLineChars="200"/>
              <w:jc w:val="center"/>
              <w:rPr>
                <w:snapToGrid w:val="0"/>
                <w:szCs w:val="21"/>
              </w:rPr>
            </w:pPr>
          </w:p>
        </w:tc>
        <w:tc>
          <w:tcPr>
            <w:tcW w:w="2940" w:type="dxa"/>
            <w:tcBorders>
              <w:top w:val="single" w:color="auto" w:sz="4" w:space="0"/>
              <w:left w:val="nil"/>
              <w:bottom w:val="single" w:color="auto" w:sz="4" w:space="0"/>
              <w:right w:val="single" w:color="auto" w:sz="4" w:space="0"/>
            </w:tcBorders>
            <w:shd w:val="clear" w:color="auto" w:fill="auto"/>
            <w:vAlign w:val="center"/>
          </w:tcPr>
          <w:p w14:paraId="75541272">
            <w:pPr>
              <w:adjustRightInd w:val="0"/>
              <w:snapToGrid w:val="0"/>
              <w:jc w:val="center"/>
              <w:rPr>
                <w:szCs w:val="21"/>
              </w:rPr>
            </w:pPr>
            <w:r>
              <w:rPr>
                <w:szCs w:val="21"/>
              </w:rPr>
              <w:t>市场价</w:t>
            </w:r>
          </w:p>
        </w:tc>
        <w:tc>
          <w:tcPr>
            <w:tcW w:w="1986" w:type="dxa"/>
            <w:tcBorders>
              <w:top w:val="single" w:color="auto" w:sz="4" w:space="0"/>
              <w:left w:val="nil"/>
              <w:bottom w:val="single" w:color="auto" w:sz="4" w:space="0"/>
              <w:right w:val="single" w:color="auto" w:sz="4" w:space="0"/>
            </w:tcBorders>
            <w:shd w:val="clear" w:color="auto" w:fill="auto"/>
          </w:tcPr>
          <w:p w14:paraId="44222026">
            <w:pPr>
              <w:jc w:val="center"/>
              <w:rPr>
                <w:szCs w:val="21"/>
              </w:rPr>
            </w:pPr>
            <w:r>
              <w:rPr>
                <w:szCs w:val="21"/>
              </w:rPr>
              <w:t>3.70</w:t>
            </w:r>
          </w:p>
        </w:tc>
        <w:tc>
          <w:tcPr>
            <w:tcW w:w="1988" w:type="dxa"/>
            <w:tcBorders>
              <w:top w:val="single" w:color="auto" w:sz="4" w:space="0"/>
              <w:left w:val="nil"/>
              <w:bottom w:val="single" w:color="auto" w:sz="4" w:space="0"/>
              <w:right w:val="single" w:color="auto" w:sz="4" w:space="0"/>
            </w:tcBorders>
            <w:shd w:val="clear" w:color="auto" w:fill="auto"/>
          </w:tcPr>
          <w:p w14:paraId="7134343F">
            <w:pPr>
              <w:jc w:val="center"/>
              <w:rPr>
                <w:szCs w:val="21"/>
              </w:rPr>
            </w:pPr>
            <w:r>
              <w:rPr>
                <w:szCs w:val="21"/>
              </w:rPr>
              <w:t>1.97</w:t>
            </w:r>
          </w:p>
        </w:tc>
      </w:tr>
      <w:tr w14:paraId="25DF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Merge w:val="restart"/>
            <w:tcBorders>
              <w:top w:val="nil"/>
              <w:left w:val="single" w:color="auto" w:sz="4" w:space="0"/>
              <w:bottom w:val="single" w:color="auto" w:sz="4" w:space="0"/>
              <w:right w:val="single" w:color="auto" w:sz="4" w:space="0"/>
            </w:tcBorders>
            <w:shd w:val="clear" w:color="auto" w:fill="auto"/>
            <w:vAlign w:val="center"/>
          </w:tcPr>
          <w:p w14:paraId="617E0C5F">
            <w:pPr>
              <w:adjustRightInd w:val="0"/>
              <w:snapToGrid w:val="0"/>
              <w:jc w:val="center"/>
              <w:rPr>
                <w:szCs w:val="21"/>
              </w:rPr>
            </w:pPr>
            <w:r>
              <w:rPr>
                <w:szCs w:val="21"/>
              </w:rPr>
              <w:t>2016</w:t>
            </w:r>
          </w:p>
        </w:tc>
        <w:tc>
          <w:tcPr>
            <w:tcW w:w="2940" w:type="dxa"/>
            <w:tcBorders>
              <w:top w:val="single" w:color="auto" w:sz="4" w:space="0"/>
              <w:left w:val="nil"/>
              <w:bottom w:val="single" w:color="auto" w:sz="4" w:space="0"/>
              <w:right w:val="single" w:color="auto" w:sz="4" w:space="0"/>
            </w:tcBorders>
            <w:shd w:val="clear" w:color="auto" w:fill="auto"/>
            <w:vAlign w:val="center"/>
          </w:tcPr>
          <w:p w14:paraId="75E891F7">
            <w:pPr>
              <w:adjustRightInd w:val="0"/>
              <w:snapToGrid w:val="0"/>
              <w:jc w:val="center"/>
              <w:rPr>
                <w:szCs w:val="21"/>
              </w:rPr>
            </w:pPr>
            <w:r>
              <w:rPr>
                <w:szCs w:val="21"/>
              </w:rPr>
              <w:t>国家收购价</w:t>
            </w:r>
          </w:p>
        </w:tc>
        <w:tc>
          <w:tcPr>
            <w:tcW w:w="1986" w:type="dxa"/>
            <w:tcBorders>
              <w:top w:val="single" w:color="auto" w:sz="4" w:space="0"/>
              <w:left w:val="nil"/>
              <w:bottom w:val="single" w:color="auto" w:sz="4" w:space="0"/>
              <w:right w:val="single" w:color="auto" w:sz="4" w:space="0"/>
            </w:tcBorders>
            <w:shd w:val="clear" w:color="auto" w:fill="auto"/>
          </w:tcPr>
          <w:p w14:paraId="4541E098">
            <w:pPr>
              <w:jc w:val="center"/>
              <w:rPr>
                <w:szCs w:val="21"/>
              </w:rPr>
            </w:pPr>
            <w:r>
              <w:rPr>
                <w:szCs w:val="21"/>
              </w:rPr>
              <w:t>4.32</w:t>
            </w:r>
          </w:p>
        </w:tc>
        <w:tc>
          <w:tcPr>
            <w:tcW w:w="1988" w:type="dxa"/>
            <w:tcBorders>
              <w:top w:val="single" w:color="auto" w:sz="4" w:space="0"/>
              <w:left w:val="nil"/>
              <w:bottom w:val="single" w:color="auto" w:sz="4" w:space="0"/>
              <w:right w:val="single" w:color="auto" w:sz="4" w:space="0"/>
            </w:tcBorders>
            <w:shd w:val="clear" w:color="auto" w:fill="auto"/>
          </w:tcPr>
          <w:p w14:paraId="79A66F00">
            <w:pPr>
              <w:jc w:val="center"/>
              <w:rPr>
                <w:szCs w:val="21"/>
              </w:rPr>
            </w:pPr>
            <w:r>
              <w:rPr>
                <w:szCs w:val="21"/>
              </w:rPr>
              <w:t>2.14</w:t>
            </w:r>
          </w:p>
        </w:tc>
      </w:tr>
      <w:tr w14:paraId="551D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Merge w:val="continue"/>
            <w:tcBorders>
              <w:top w:val="nil"/>
              <w:left w:val="single" w:color="auto" w:sz="4" w:space="0"/>
              <w:bottom w:val="single" w:color="auto" w:sz="4" w:space="0"/>
              <w:right w:val="single" w:color="auto" w:sz="4" w:space="0"/>
            </w:tcBorders>
            <w:shd w:val="clear" w:color="auto" w:fill="auto"/>
            <w:vAlign w:val="center"/>
          </w:tcPr>
          <w:p w14:paraId="7A679460">
            <w:pPr>
              <w:snapToGrid w:val="0"/>
              <w:ind w:firstLine="420" w:firstLineChars="200"/>
              <w:jc w:val="center"/>
              <w:rPr>
                <w:snapToGrid w:val="0"/>
                <w:szCs w:val="21"/>
              </w:rPr>
            </w:pPr>
          </w:p>
        </w:tc>
        <w:tc>
          <w:tcPr>
            <w:tcW w:w="2940" w:type="dxa"/>
            <w:tcBorders>
              <w:top w:val="single" w:color="auto" w:sz="4" w:space="0"/>
              <w:left w:val="nil"/>
              <w:bottom w:val="single" w:color="auto" w:sz="4" w:space="0"/>
              <w:right w:val="single" w:color="auto" w:sz="4" w:space="0"/>
            </w:tcBorders>
            <w:shd w:val="clear" w:color="auto" w:fill="auto"/>
            <w:vAlign w:val="center"/>
          </w:tcPr>
          <w:p w14:paraId="187CABC7">
            <w:pPr>
              <w:adjustRightInd w:val="0"/>
              <w:snapToGrid w:val="0"/>
              <w:jc w:val="center"/>
              <w:rPr>
                <w:szCs w:val="21"/>
              </w:rPr>
            </w:pPr>
            <w:r>
              <w:rPr>
                <w:szCs w:val="21"/>
              </w:rPr>
              <w:t>市场价</w:t>
            </w:r>
          </w:p>
        </w:tc>
        <w:tc>
          <w:tcPr>
            <w:tcW w:w="1986" w:type="dxa"/>
            <w:tcBorders>
              <w:top w:val="single" w:color="auto" w:sz="4" w:space="0"/>
              <w:left w:val="nil"/>
              <w:bottom w:val="single" w:color="auto" w:sz="4" w:space="0"/>
              <w:right w:val="single" w:color="auto" w:sz="4" w:space="0"/>
            </w:tcBorders>
            <w:shd w:val="clear" w:color="auto" w:fill="auto"/>
          </w:tcPr>
          <w:p w14:paraId="75975122">
            <w:pPr>
              <w:jc w:val="center"/>
              <w:rPr>
                <w:szCs w:val="21"/>
              </w:rPr>
            </w:pPr>
            <w:r>
              <w:rPr>
                <w:szCs w:val="21"/>
              </w:rPr>
              <w:t>4.42</w:t>
            </w:r>
          </w:p>
        </w:tc>
        <w:tc>
          <w:tcPr>
            <w:tcW w:w="1988" w:type="dxa"/>
            <w:tcBorders>
              <w:top w:val="single" w:color="auto" w:sz="4" w:space="0"/>
              <w:left w:val="nil"/>
              <w:bottom w:val="single" w:color="auto" w:sz="4" w:space="0"/>
              <w:right w:val="single" w:color="auto" w:sz="4" w:space="0"/>
            </w:tcBorders>
            <w:shd w:val="clear" w:color="auto" w:fill="auto"/>
          </w:tcPr>
          <w:p w14:paraId="2B7008F8">
            <w:pPr>
              <w:jc w:val="center"/>
              <w:rPr>
                <w:szCs w:val="21"/>
              </w:rPr>
            </w:pPr>
            <w:r>
              <w:rPr>
                <w:szCs w:val="21"/>
              </w:rPr>
              <w:t>2.35</w:t>
            </w:r>
          </w:p>
        </w:tc>
      </w:tr>
      <w:tr w14:paraId="4F73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Merge w:val="restart"/>
            <w:tcBorders>
              <w:top w:val="nil"/>
              <w:left w:val="single" w:color="auto" w:sz="4" w:space="0"/>
              <w:bottom w:val="single" w:color="auto" w:sz="4" w:space="0"/>
              <w:right w:val="single" w:color="auto" w:sz="4" w:space="0"/>
            </w:tcBorders>
            <w:shd w:val="clear" w:color="auto" w:fill="auto"/>
            <w:vAlign w:val="center"/>
          </w:tcPr>
          <w:p w14:paraId="05C71371">
            <w:pPr>
              <w:adjustRightInd w:val="0"/>
              <w:snapToGrid w:val="0"/>
              <w:jc w:val="center"/>
              <w:rPr>
                <w:szCs w:val="21"/>
              </w:rPr>
            </w:pPr>
            <w:r>
              <w:rPr>
                <w:szCs w:val="21"/>
              </w:rPr>
              <w:t>2017</w:t>
            </w:r>
          </w:p>
        </w:tc>
        <w:tc>
          <w:tcPr>
            <w:tcW w:w="2940" w:type="dxa"/>
            <w:tcBorders>
              <w:top w:val="single" w:color="auto" w:sz="4" w:space="0"/>
              <w:left w:val="nil"/>
              <w:bottom w:val="single" w:color="auto" w:sz="4" w:space="0"/>
              <w:right w:val="single" w:color="auto" w:sz="4" w:space="0"/>
            </w:tcBorders>
            <w:shd w:val="clear" w:color="auto" w:fill="auto"/>
            <w:vAlign w:val="center"/>
          </w:tcPr>
          <w:p w14:paraId="23EABAAD">
            <w:pPr>
              <w:adjustRightInd w:val="0"/>
              <w:snapToGrid w:val="0"/>
              <w:jc w:val="center"/>
              <w:rPr>
                <w:szCs w:val="21"/>
              </w:rPr>
            </w:pPr>
            <w:r>
              <w:rPr>
                <w:szCs w:val="21"/>
              </w:rPr>
              <w:t>国家收购价</w:t>
            </w:r>
          </w:p>
        </w:tc>
        <w:tc>
          <w:tcPr>
            <w:tcW w:w="1986" w:type="dxa"/>
            <w:tcBorders>
              <w:top w:val="single" w:color="auto" w:sz="4" w:space="0"/>
              <w:left w:val="nil"/>
              <w:bottom w:val="single" w:color="auto" w:sz="4" w:space="0"/>
              <w:right w:val="single" w:color="auto" w:sz="4" w:space="0"/>
            </w:tcBorders>
            <w:shd w:val="clear" w:color="auto" w:fill="auto"/>
          </w:tcPr>
          <w:p w14:paraId="718E9FAE">
            <w:pPr>
              <w:jc w:val="center"/>
              <w:rPr>
                <w:szCs w:val="21"/>
              </w:rPr>
            </w:pPr>
            <w:r>
              <w:rPr>
                <w:szCs w:val="21"/>
              </w:rPr>
              <w:t>4.40</w:t>
            </w:r>
          </w:p>
        </w:tc>
        <w:tc>
          <w:tcPr>
            <w:tcW w:w="1988" w:type="dxa"/>
            <w:tcBorders>
              <w:top w:val="single" w:color="auto" w:sz="4" w:space="0"/>
              <w:left w:val="nil"/>
              <w:bottom w:val="single" w:color="auto" w:sz="4" w:space="0"/>
              <w:right w:val="single" w:color="auto" w:sz="4" w:space="0"/>
            </w:tcBorders>
            <w:shd w:val="clear" w:color="auto" w:fill="auto"/>
          </w:tcPr>
          <w:p w14:paraId="596EA039">
            <w:pPr>
              <w:jc w:val="center"/>
              <w:rPr>
                <w:szCs w:val="21"/>
              </w:rPr>
            </w:pPr>
            <w:r>
              <w:rPr>
                <w:szCs w:val="21"/>
              </w:rPr>
              <w:t>2.50</w:t>
            </w:r>
          </w:p>
        </w:tc>
      </w:tr>
      <w:tr w14:paraId="2D59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Merge w:val="continue"/>
            <w:tcBorders>
              <w:top w:val="nil"/>
              <w:left w:val="single" w:color="auto" w:sz="4" w:space="0"/>
              <w:bottom w:val="single" w:color="auto" w:sz="4" w:space="0"/>
              <w:right w:val="single" w:color="auto" w:sz="4" w:space="0"/>
            </w:tcBorders>
            <w:shd w:val="clear" w:color="auto" w:fill="auto"/>
            <w:vAlign w:val="center"/>
          </w:tcPr>
          <w:p w14:paraId="45CCE8AD">
            <w:pPr>
              <w:snapToGrid w:val="0"/>
              <w:ind w:firstLine="420" w:firstLineChars="200"/>
              <w:jc w:val="center"/>
              <w:rPr>
                <w:snapToGrid w:val="0"/>
                <w:szCs w:val="21"/>
              </w:rPr>
            </w:pPr>
          </w:p>
        </w:tc>
        <w:tc>
          <w:tcPr>
            <w:tcW w:w="2940" w:type="dxa"/>
            <w:tcBorders>
              <w:top w:val="single" w:color="auto" w:sz="4" w:space="0"/>
              <w:left w:val="nil"/>
              <w:bottom w:val="single" w:color="auto" w:sz="4" w:space="0"/>
              <w:right w:val="single" w:color="auto" w:sz="4" w:space="0"/>
            </w:tcBorders>
            <w:shd w:val="clear" w:color="auto" w:fill="auto"/>
            <w:vAlign w:val="center"/>
          </w:tcPr>
          <w:p w14:paraId="6632B1AD">
            <w:pPr>
              <w:adjustRightInd w:val="0"/>
              <w:snapToGrid w:val="0"/>
              <w:jc w:val="center"/>
              <w:rPr>
                <w:szCs w:val="21"/>
              </w:rPr>
            </w:pPr>
            <w:r>
              <w:rPr>
                <w:szCs w:val="21"/>
              </w:rPr>
              <w:t>市场价</w:t>
            </w:r>
          </w:p>
        </w:tc>
        <w:tc>
          <w:tcPr>
            <w:tcW w:w="1986" w:type="dxa"/>
            <w:tcBorders>
              <w:top w:val="single" w:color="auto" w:sz="4" w:space="0"/>
              <w:left w:val="nil"/>
              <w:bottom w:val="single" w:color="auto" w:sz="4" w:space="0"/>
              <w:right w:val="single" w:color="auto" w:sz="4" w:space="0"/>
            </w:tcBorders>
            <w:shd w:val="clear" w:color="auto" w:fill="auto"/>
          </w:tcPr>
          <w:p w14:paraId="16DAFFCA">
            <w:pPr>
              <w:jc w:val="center"/>
              <w:rPr>
                <w:szCs w:val="21"/>
              </w:rPr>
            </w:pPr>
            <w:r>
              <w:rPr>
                <w:szCs w:val="21"/>
              </w:rPr>
              <w:t>4.80</w:t>
            </w:r>
          </w:p>
        </w:tc>
        <w:tc>
          <w:tcPr>
            <w:tcW w:w="1988" w:type="dxa"/>
            <w:tcBorders>
              <w:top w:val="single" w:color="auto" w:sz="4" w:space="0"/>
              <w:left w:val="nil"/>
              <w:bottom w:val="single" w:color="auto" w:sz="4" w:space="0"/>
              <w:right w:val="single" w:color="auto" w:sz="4" w:space="0"/>
            </w:tcBorders>
            <w:shd w:val="clear" w:color="auto" w:fill="auto"/>
          </w:tcPr>
          <w:p w14:paraId="2024228B">
            <w:pPr>
              <w:jc w:val="center"/>
              <w:rPr>
                <w:szCs w:val="21"/>
              </w:rPr>
            </w:pPr>
            <w:r>
              <w:rPr>
                <w:szCs w:val="21"/>
              </w:rPr>
              <w:t>2.80</w:t>
            </w:r>
          </w:p>
        </w:tc>
      </w:tr>
    </w:tbl>
    <w:p w14:paraId="5FD10A84">
      <w:pPr>
        <w:snapToGrid w:val="0"/>
        <w:spacing w:before="156" w:beforeLines="50"/>
        <w:ind w:firstLine="422"/>
        <w:jc w:val="center"/>
        <w:rPr>
          <w:b/>
          <w:snapToGrid w:val="0"/>
          <w:szCs w:val="21"/>
        </w:rPr>
      </w:pPr>
    </w:p>
    <w:p w14:paraId="4BB80437">
      <w:pPr>
        <w:snapToGrid w:val="0"/>
        <w:spacing w:before="156" w:beforeLines="50"/>
        <w:ind w:firstLine="422"/>
        <w:jc w:val="center"/>
        <w:rPr>
          <w:b/>
          <w:snapToGrid w:val="0"/>
          <w:szCs w:val="21"/>
        </w:rPr>
      </w:pPr>
      <w:r>
        <w:rPr>
          <w:b/>
          <w:snapToGrid w:val="0"/>
          <w:szCs w:val="21"/>
        </w:rPr>
        <w:t>表3-18</w:t>
      </w:r>
      <w:r>
        <w:rPr>
          <w:b/>
          <w:bCs/>
          <w:szCs w:val="21"/>
        </w:rPr>
        <w:t>华容区</w:t>
      </w:r>
      <w:r>
        <w:rPr>
          <w:b/>
          <w:snapToGrid w:val="0"/>
          <w:szCs w:val="21"/>
        </w:rPr>
        <w:t>2015-2017年油菜-中稻价格表</w:t>
      </w:r>
    </w:p>
    <w:tbl>
      <w:tblPr>
        <w:tblStyle w:val="39"/>
        <w:tblpPr w:leftFromText="180" w:rightFromText="180" w:vertAnchor="text" w:horzAnchor="margin" w:tblpXSpec="center" w:tblpY="40"/>
        <w:tblOverlap w:val="never"/>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3045"/>
        <w:gridCol w:w="2059"/>
        <w:gridCol w:w="1764"/>
      </w:tblGrid>
      <w:tr w14:paraId="627A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1428" w:type="dxa"/>
            <w:vAlign w:val="center"/>
          </w:tcPr>
          <w:p w14:paraId="6AD01D10">
            <w:pPr>
              <w:adjustRightInd w:val="0"/>
              <w:snapToGrid w:val="0"/>
              <w:jc w:val="center"/>
              <w:rPr>
                <w:b/>
                <w:szCs w:val="21"/>
              </w:rPr>
            </w:pPr>
            <w:r>
              <w:rPr>
                <w:b/>
                <w:szCs w:val="21"/>
              </w:rPr>
              <w:t>年份</w:t>
            </w:r>
          </w:p>
        </w:tc>
        <w:tc>
          <w:tcPr>
            <w:tcW w:w="3045" w:type="dxa"/>
            <w:vAlign w:val="center"/>
          </w:tcPr>
          <w:p w14:paraId="0AB35226">
            <w:pPr>
              <w:adjustRightInd w:val="0"/>
              <w:snapToGrid w:val="0"/>
              <w:jc w:val="center"/>
              <w:rPr>
                <w:b/>
                <w:szCs w:val="21"/>
              </w:rPr>
            </w:pPr>
            <w:r>
              <w:rPr>
                <w:b/>
                <w:szCs w:val="21"/>
              </w:rPr>
              <w:t>价格类型</w:t>
            </w:r>
          </w:p>
        </w:tc>
        <w:tc>
          <w:tcPr>
            <w:tcW w:w="2059" w:type="dxa"/>
            <w:vAlign w:val="center"/>
          </w:tcPr>
          <w:p w14:paraId="56D8B765">
            <w:pPr>
              <w:adjustRightInd w:val="0"/>
              <w:snapToGrid w:val="0"/>
              <w:jc w:val="center"/>
              <w:rPr>
                <w:b/>
                <w:szCs w:val="21"/>
              </w:rPr>
            </w:pPr>
            <w:r>
              <w:rPr>
                <w:b/>
                <w:szCs w:val="21"/>
              </w:rPr>
              <w:t>油菜(元/公斤)</w:t>
            </w:r>
          </w:p>
        </w:tc>
        <w:tc>
          <w:tcPr>
            <w:tcW w:w="1764" w:type="dxa"/>
            <w:vAlign w:val="center"/>
          </w:tcPr>
          <w:p w14:paraId="02E75B88">
            <w:pPr>
              <w:adjustRightInd w:val="0"/>
              <w:snapToGrid w:val="0"/>
              <w:jc w:val="center"/>
              <w:rPr>
                <w:b/>
                <w:szCs w:val="21"/>
              </w:rPr>
            </w:pPr>
            <w:r>
              <w:rPr>
                <w:b/>
                <w:szCs w:val="21"/>
              </w:rPr>
              <w:t>中稻(元/公斤)</w:t>
            </w:r>
          </w:p>
        </w:tc>
      </w:tr>
      <w:tr w14:paraId="3BA8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restart"/>
            <w:vAlign w:val="center"/>
          </w:tcPr>
          <w:p w14:paraId="7E185FFC">
            <w:pPr>
              <w:adjustRightInd w:val="0"/>
              <w:snapToGrid w:val="0"/>
              <w:jc w:val="center"/>
              <w:rPr>
                <w:szCs w:val="21"/>
              </w:rPr>
            </w:pPr>
            <w:r>
              <w:rPr>
                <w:szCs w:val="21"/>
              </w:rPr>
              <w:t>2015</w:t>
            </w:r>
          </w:p>
        </w:tc>
        <w:tc>
          <w:tcPr>
            <w:tcW w:w="3045" w:type="dxa"/>
            <w:vAlign w:val="center"/>
          </w:tcPr>
          <w:p w14:paraId="7E7578D9">
            <w:pPr>
              <w:adjustRightInd w:val="0"/>
              <w:snapToGrid w:val="0"/>
              <w:jc w:val="center"/>
              <w:rPr>
                <w:szCs w:val="21"/>
              </w:rPr>
            </w:pPr>
            <w:r>
              <w:rPr>
                <w:szCs w:val="21"/>
              </w:rPr>
              <w:t>国家收购价</w:t>
            </w:r>
          </w:p>
        </w:tc>
        <w:tc>
          <w:tcPr>
            <w:tcW w:w="2059" w:type="dxa"/>
          </w:tcPr>
          <w:p w14:paraId="6D48BE3B">
            <w:pPr>
              <w:jc w:val="center"/>
              <w:rPr>
                <w:szCs w:val="21"/>
              </w:rPr>
            </w:pPr>
            <w:r>
              <w:rPr>
                <w:szCs w:val="21"/>
              </w:rPr>
              <w:t>4.20</w:t>
            </w:r>
          </w:p>
        </w:tc>
        <w:tc>
          <w:tcPr>
            <w:tcW w:w="1764" w:type="dxa"/>
          </w:tcPr>
          <w:p w14:paraId="4F6DB464">
            <w:pPr>
              <w:jc w:val="center"/>
              <w:rPr>
                <w:szCs w:val="21"/>
              </w:rPr>
            </w:pPr>
            <w:r>
              <w:rPr>
                <w:szCs w:val="21"/>
              </w:rPr>
              <w:t>1.94</w:t>
            </w:r>
          </w:p>
        </w:tc>
      </w:tr>
      <w:tr w14:paraId="57F5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continue"/>
            <w:vAlign w:val="center"/>
          </w:tcPr>
          <w:p w14:paraId="0EBB6D9C">
            <w:pPr>
              <w:adjustRightInd w:val="0"/>
              <w:snapToGrid w:val="0"/>
              <w:ind w:firstLine="420"/>
              <w:jc w:val="center"/>
              <w:rPr>
                <w:szCs w:val="21"/>
              </w:rPr>
            </w:pPr>
          </w:p>
        </w:tc>
        <w:tc>
          <w:tcPr>
            <w:tcW w:w="3045" w:type="dxa"/>
            <w:vAlign w:val="center"/>
          </w:tcPr>
          <w:p w14:paraId="135B5447">
            <w:pPr>
              <w:adjustRightInd w:val="0"/>
              <w:snapToGrid w:val="0"/>
              <w:jc w:val="center"/>
              <w:rPr>
                <w:szCs w:val="21"/>
              </w:rPr>
            </w:pPr>
            <w:r>
              <w:rPr>
                <w:szCs w:val="21"/>
              </w:rPr>
              <w:t>市场价</w:t>
            </w:r>
          </w:p>
        </w:tc>
        <w:tc>
          <w:tcPr>
            <w:tcW w:w="2059" w:type="dxa"/>
          </w:tcPr>
          <w:p w14:paraId="5B5A2410">
            <w:pPr>
              <w:jc w:val="center"/>
              <w:rPr>
                <w:szCs w:val="21"/>
              </w:rPr>
            </w:pPr>
            <w:r>
              <w:rPr>
                <w:szCs w:val="21"/>
              </w:rPr>
              <w:t>3.70</w:t>
            </w:r>
          </w:p>
        </w:tc>
        <w:tc>
          <w:tcPr>
            <w:tcW w:w="1764" w:type="dxa"/>
          </w:tcPr>
          <w:p w14:paraId="5FDB7916">
            <w:pPr>
              <w:jc w:val="center"/>
              <w:rPr>
                <w:szCs w:val="21"/>
              </w:rPr>
            </w:pPr>
            <w:r>
              <w:rPr>
                <w:szCs w:val="21"/>
              </w:rPr>
              <w:t>1.97</w:t>
            </w:r>
          </w:p>
        </w:tc>
      </w:tr>
      <w:tr w14:paraId="4E7E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restart"/>
            <w:vAlign w:val="center"/>
          </w:tcPr>
          <w:p w14:paraId="3AC76945">
            <w:pPr>
              <w:adjustRightInd w:val="0"/>
              <w:snapToGrid w:val="0"/>
              <w:jc w:val="center"/>
              <w:rPr>
                <w:szCs w:val="21"/>
              </w:rPr>
            </w:pPr>
            <w:r>
              <w:rPr>
                <w:szCs w:val="21"/>
              </w:rPr>
              <w:t>2016</w:t>
            </w:r>
          </w:p>
        </w:tc>
        <w:tc>
          <w:tcPr>
            <w:tcW w:w="3045" w:type="dxa"/>
            <w:vAlign w:val="center"/>
          </w:tcPr>
          <w:p w14:paraId="0BDC3B6A">
            <w:pPr>
              <w:adjustRightInd w:val="0"/>
              <w:snapToGrid w:val="0"/>
              <w:jc w:val="center"/>
              <w:rPr>
                <w:szCs w:val="21"/>
              </w:rPr>
            </w:pPr>
            <w:r>
              <w:rPr>
                <w:szCs w:val="21"/>
              </w:rPr>
              <w:t>国家收购价</w:t>
            </w:r>
          </w:p>
        </w:tc>
        <w:tc>
          <w:tcPr>
            <w:tcW w:w="2059" w:type="dxa"/>
          </w:tcPr>
          <w:p w14:paraId="30CCA77B">
            <w:pPr>
              <w:jc w:val="center"/>
              <w:rPr>
                <w:szCs w:val="21"/>
              </w:rPr>
            </w:pPr>
            <w:r>
              <w:rPr>
                <w:szCs w:val="21"/>
              </w:rPr>
              <w:t>4.32</w:t>
            </w:r>
          </w:p>
        </w:tc>
        <w:tc>
          <w:tcPr>
            <w:tcW w:w="1764" w:type="dxa"/>
          </w:tcPr>
          <w:p w14:paraId="6EF54825">
            <w:pPr>
              <w:jc w:val="center"/>
              <w:rPr>
                <w:szCs w:val="21"/>
              </w:rPr>
            </w:pPr>
            <w:r>
              <w:rPr>
                <w:szCs w:val="21"/>
              </w:rPr>
              <w:t>2.14</w:t>
            </w:r>
          </w:p>
        </w:tc>
      </w:tr>
      <w:tr w14:paraId="60C1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continue"/>
            <w:vAlign w:val="center"/>
          </w:tcPr>
          <w:p w14:paraId="3C4AAE52">
            <w:pPr>
              <w:adjustRightInd w:val="0"/>
              <w:snapToGrid w:val="0"/>
              <w:ind w:firstLine="420"/>
              <w:jc w:val="center"/>
              <w:rPr>
                <w:szCs w:val="21"/>
              </w:rPr>
            </w:pPr>
          </w:p>
        </w:tc>
        <w:tc>
          <w:tcPr>
            <w:tcW w:w="3045" w:type="dxa"/>
            <w:vAlign w:val="center"/>
          </w:tcPr>
          <w:p w14:paraId="15A0CC5A">
            <w:pPr>
              <w:adjustRightInd w:val="0"/>
              <w:snapToGrid w:val="0"/>
              <w:jc w:val="center"/>
              <w:rPr>
                <w:szCs w:val="21"/>
              </w:rPr>
            </w:pPr>
            <w:r>
              <w:rPr>
                <w:szCs w:val="21"/>
              </w:rPr>
              <w:t>市场价</w:t>
            </w:r>
          </w:p>
        </w:tc>
        <w:tc>
          <w:tcPr>
            <w:tcW w:w="2059" w:type="dxa"/>
          </w:tcPr>
          <w:p w14:paraId="30949C6C">
            <w:pPr>
              <w:jc w:val="center"/>
              <w:rPr>
                <w:szCs w:val="21"/>
              </w:rPr>
            </w:pPr>
            <w:r>
              <w:rPr>
                <w:szCs w:val="21"/>
              </w:rPr>
              <w:t>4.42</w:t>
            </w:r>
          </w:p>
        </w:tc>
        <w:tc>
          <w:tcPr>
            <w:tcW w:w="1764" w:type="dxa"/>
          </w:tcPr>
          <w:p w14:paraId="3311F857">
            <w:pPr>
              <w:jc w:val="center"/>
              <w:rPr>
                <w:szCs w:val="21"/>
              </w:rPr>
            </w:pPr>
            <w:r>
              <w:rPr>
                <w:szCs w:val="21"/>
              </w:rPr>
              <w:t>2.35</w:t>
            </w:r>
          </w:p>
        </w:tc>
      </w:tr>
      <w:tr w14:paraId="4E46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restart"/>
            <w:vAlign w:val="center"/>
          </w:tcPr>
          <w:p w14:paraId="100D6939">
            <w:pPr>
              <w:adjustRightInd w:val="0"/>
              <w:snapToGrid w:val="0"/>
              <w:jc w:val="center"/>
              <w:rPr>
                <w:szCs w:val="21"/>
              </w:rPr>
            </w:pPr>
            <w:r>
              <w:rPr>
                <w:szCs w:val="21"/>
              </w:rPr>
              <w:t>2017</w:t>
            </w:r>
          </w:p>
        </w:tc>
        <w:tc>
          <w:tcPr>
            <w:tcW w:w="3045" w:type="dxa"/>
            <w:vAlign w:val="center"/>
          </w:tcPr>
          <w:p w14:paraId="7FBC1E0B">
            <w:pPr>
              <w:adjustRightInd w:val="0"/>
              <w:snapToGrid w:val="0"/>
              <w:jc w:val="center"/>
              <w:rPr>
                <w:szCs w:val="21"/>
              </w:rPr>
            </w:pPr>
            <w:r>
              <w:rPr>
                <w:szCs w:val="21"/>
              </w:rPr>
              <w:t>国家收购价</w:t>
            </w:r>
          </w:p>
        </w:tc>
        <w:tc>
          <w:tcPr>
            <w:tcW w:w="2059" w:type="dxa"/>
          </w:tcPr>
          <w:p w14:paraId="7A39E76A">
            <w:pPr>
              <w:jc w:val="center"/>
              <w:rPr>
                <w:szCs w:val="21"/>
              </w:rPr>
            </w:pPr>
            <w:r>
              <w:rPr>
                <w:szCs w:val="21"/>
              </w:rPr>
              <w:t>4.40</w:t>
            </w:r>
          </w:p>
        </w:tc>
        <w:tc>
          <w:tcPr>
            <w:tcW w:w="1764" w:type="dxa"/>
          </w:tcPr>
          <w:p w14:paraId="6E8B4BB8">
            <w:pPr>
              <w:jc w:val="center"/>
              <w:rPr>
                <w:szCs w:val="21"/>
              </w:rPr>
            </w:pPr>
            <w:r>
              <w:rPr>
                <w:szCs w:val="21"/>
              </w:rPr>
              <w:t>2.50</w:t>
            </w:r>
          </w:p>
        </w:tc>
      </w:tr>
      <w:tr w14:paraId="6781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continue"/>
            <w:vAlign w:val="center"/>
          </w:tcPr>
          <w:p w14:paraId="1FCA6FA6">
            <w:pPr>
              <w:adjustRightInd w:val="0"/>
              <w:snapToGrid w:val="0"/>
              <w:ind w:firstLine="420"/>
              <w:jc w:val="center"/>
              <w:rPr>
                <w:szCs w:val="21"/>
              </w:rPr>
            </w:pPr>
          </w:p>
        </w:tc>
        <w:tc>
          <w:tcPr>
            <w:tcW w:w="3045" w:type="dxa"/>
            <w:vAlign w:val="center"/>
          </w:tcPr>
          <w:p w14:paraId="2B01BC2C">
            <w:pPr>
              <w:adjustRightInd w:val="0"/>
              <w:snapToGrid w:val="0"/>
              <w:jc w:val="center"/>
              <w:rPr>
                <w:szCs w:val="21"/>
              </w:rPr>
            </w:pPr>
            <w:r>
              <w:rPr>
                <w:szCs w:val="21"/>
              </w:rPr>
              <w:t>市场价</w:t>
            </w:r>
          </w:p>
        </w:tc>
        <w:tc>
          <w:tcPr>
            <w:tcW w:w="2059" w:type="dxa"/>
          </w:tcPr>
          <w:p w14:paraId="50B0BC7D">
            <w:pPr>
              <w:jc w:val="center"/>
              <w:rPr>
                <w:szCs w:val="21"/>
              </w:rPr>
            </w:pPr>
            <w:r>
              <w:rPr>
                <w:szCs w:val="21"/>
              </w:rPr>
              <w:t>4.60</w:t>
            </w:r>
          </w:p>
        </w:tc>
        <w:tc>
          <w:tcPr>
            <w:tcW w:w="1764" w:type="dxa"/>
          </w:tcPr>
          <w:p w14:paraId="6C0D6283">
            <w:pPr>
              <w:jc w:val="center"/>
              <w:rPr>
                <w:szCs w:val="21"/>
              </w:rPr>
            </w:pPr>
            <w:r>
              <w:rPr>
                <w:szCs w:val="21"/>
              </w:rPr>
              <w:t>2.80</w:t>
            </w:r>
          </w:p>
        </w:tc>
      </w:tr>
    </w:tbl>
    <w:p w14:paraId="15AC4F93">
      <w:pPr>
        <w:snapToGrid w:val="0"/>
        <w:spacing w:before="156" w:beforeLines="50"/>
        <w:ind w:firstLine="422"/>
        <w:jc w:val="center"/>
        <w:rPr>
          <w:b/>
          <w:snapToGrid w:val="0"/>
          <w:szCs w:val="21"/>
        </w:rPr>
      </w:pPr>
    </w:p>
    <w:p w14:paraId="78C6D647">
      <w:pPr>
        <w:snapToGrid w:val="0"/>
        <w:spacing w:before="156" w:beforeLines="50"/>
        <w:ind w:firstLine="422"/>
        <w:jc w:val="center"/>
        <w:rPr>
          <w:b/>
          <w:snapToGrid w:val="0"/>
          <w:szCs w:val="21"/>
        </w:rPr>
      </w:pPr>
    </w:p>
    <w:p w14:paraId="7C62845E">
      <w:pPr>
        <w:snapToGrid w:val="0"/>
        <w:spacing w:before="156" w:beforeLines="50"/>
        <w:ind w:firstLine="422"/>
        <w:jc w:val="center"/>
        <w:rPr>
          <w:b/>
          <w:snapToGrid w:val="0"/>
          <w:szCs w:val="21"/>
        </w:rPr>
      </w:pPr>
    </w:p>
    <w:p w14:paraId="37ECD2EA">
      <w:pPr>
        <w:snapToGrid w:val="0"/>
        <w:spacing w:before="156" w:beforeLines="50"/>
        <w:ind w:firstLine="422"/>
        <w:jc w:val="center"/>
        <w:rPr>
          <w:b/>
          <w:snapToGrid w:val="0"/>
          <w:szCs w:val="21"/>
        </w:rPr>
      </w:pPr>
      <w:r>
        <w:rPr>
          <w:b/>
          <w:snapToGrid w:val="0"/>
          <w:szCs w:val="21"/>
        </w:rPr>
        <w:t>表3-19</w:t>
      </w:r>
      <w:r>
        <w:rPr>
          <w:b/>
          <w:bCs/>
          <w:szCs w:val="21"/>
        </w:rPr>
        <w:t>梁子湖区</w:t>
      </w:r>
      <w:r>
        <w:rPr>
          <w:b/>
          <w:snapToGrid w:val="0"/>
          <w:szCs w:val="21"/>
        </w:rPr>
        <w:t>2015-2017年油菜-中稻价格表</w:t>
      </w:r>
    </w:p>
    <w:tbl>
      <w:tblPr>
        <w:tblStyle w:val="39"/>
        <w:tblpPr w:leftFromText="180" w:rightFromText="180" w:vertAnchor="text" w:horzAnchor="margin" w:tblpXSpec="center" w:tblpY="40"/>
        <w:tblOverlap w:val="never"/>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3045"/>
        <w:gridCol w:w="2059"/>
        <w:gridCol w:w="1764"/>
      </w:tblGrid>
      <w:tr w14:paraId="267A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1428" w:type="dxa"/>
            <w:vAlign w:val="center"/>
          </w:tcPr>
          <w:p w14:paraId="519D4027">
            <w:pPr>
              <w:adjustRightInd w:val="0"/>
              <w:snapToGrid w:val="0"/>
              <w:ind w:firstLine="422"/>
              <w:rPr>
                <w:b/>
                <w:szCs w:val="21"/>
              </w:rPr>
            </w:pPr>
            <w:r>
              <w:rPr>
                <w:b/>
                <w:szCs w:val="21"/>
              </w:rPr>
              <w:t>年份</w:t>
            </w:r>
          </w:p>
        </w:tc>
        <w:tc>
          <w:tcPr>
            <w:tcW w:w="3045" w:type="dxa"/>
            <w:vAlign w:val="center"/>
          </w:tcPr>
          <w:p w14:paraId="252B0FB6">
            <w:pPr>
              <w:adjustRightInd w:val="0"/>
              <w:snapToGrid w:val="0"/>
              <w:jc w:val="center"/>
              <w:rPr>
                <w:b/>
                <w:szCs w:val="21"/>
              </w:rPr>
            </w:pPr>
            <w:r>
              <w:rPr>
                <w:b/>
                <w:szCs w:val="21"/>
              </w:rPr>
              <w:t>价格类型</w:t>
            </w:r>
          </w:p>
        </w:tc>
        <w:tc>
          <w:tcPr>
            <w:tcW w:w="2059" w:type="dxa"/>
            <w:vAlign w:val="center"/>
          </w:tcPr>
          <w:p w14:paraId="4E12B857">
            <w:pPr>
              <w:adjustRightInd w:val="0"/>
              <w:snapToGrid w:val="0"/>
              <w:jc w:val="center"/>
              <w:rPr>
                <w:b/>
                <w:szCs w:val="21"/>
              </w:rPr>
            </w:pPr>
            <w:r>
              <w:rPr>
                <w:b/>
                <w:szCs w:val="21"/>
              </w:rPr>
              <w:t>油菜(元/公斤)</w:t>
            </w:r>
          </w:p>
        </w:tc>
        <w:tc>
          <w:tcPr>
            <w:tcW w:w="1764" w:type="dxa"/>
            <w:vAlign w:val="center"/>
          </w:tcPr>
          <w:p w14:paraId="2BA0D9D9">
            <w:pPr>
              <w:adjustRightInd w:val="0"/>
              <w:snapToGrid w:val="0"/>
              <w:jc w:val="center"/>
              <w:rPr>
                <w:b/>
                <w:szCs w:val="21"/>
              </w:rPr>
            </w:pPr>
            <w:r>
              <w:rPr>
                <w:b/>
                <w:szCs w:val="21"/>
              </w:rPr>
              <w:t>中稻(元/公斤)</w:t>
            </w:r>
          </w:p>
        </w:tc>
      </w:tr>
      <w:tr w14:paraId="1EB8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restart"/>
            <w:vAlign w:val="center"/>
          </w:tcPr>
          <w:p w14:paraId="76AF2D16">
            <w:pPr>
              <w:adjustRightInd w:val="0"/>
              <w:snapToGrid w:val="0"/>
              <w:ind w:firstLine="420"/>
              <w:rPr>
                <w:szCs w:val="21"/>
              </w:rPr>
            </w:pPr>
            <w:r>
              <w:rPr>
                <w:szCs w:val="21"/>
              </w:rPr>
              <w:t>2015</w:t>
            </w:r>
          </w:p>
        </w:tc>
        <w:tc>
          <w:tcPr>
            <w:tcW w:w="3045" w:type="dxa"/>
            <w:vAlign w:val="center"/>
          </w:tcPr>
          <w:p w14:paraId="2FC19F39">
            <w:pPr>
              <w:adjustRightInd w:val="0"/>
              <w:snapToGrid w:val="0"/>
              <w:jc w:val="center"/>
              <w:rPr>
                <w:szCs w:val="21"/>
              </w:rPr>
            </w:pPr>
            <w:r>
              <w:rPr>
                <w:szCs w:val="21"/>
              </w:rPr>
              <w:t>国家收购价</w:t>
            </w:r>
          </w:p>
        </w:tc>
        <w:tc>
          <w:tcPr>
            <w:tcW w:w="2059" w:type="dxa"/>
            <w:vAlign w:val="center"/>
          </w:tcPr>
          <w:p w14:paraId="3940B13E">
            <w:pPr>
              <w:adjustRightInd w:val="0"/>
              <w:snapToGrid w:val="0"/>
              <w:jc w:val="center"/>
              <w:rPr>
                <w:szCs w:val="21"/>
              </w:rPr>
            </w:pPr>
            <w:r>
              <w:rPr>
                <w:szCs w:val="21"/>
              </w:rPr>
              <w:t>4.20</w:t>
            </w:r>
          </w:p>
        </w:tc>
        <w:tc>
          <w:tcPr>
            <w:tcW w:w="1764" w:type="dxa"/>
            <w:vAlign w:val="center"/>
          </w:tcPr>
          <w:p w14:paraId="7A7C3DE9">
            <w:pPr>
              <w:adjustRightInd w:val="0"/>
              <w:snapToGrid w:val="0"/>
              <w:jc w:val="center"/>
              <w:rPr>
                <w:szCs w:val="21"/>
              </w:rPr>
            </w:pPr>
            <w:r>
              <w:rPr>
                <w:szCs w:val="21"/>
              </w:rPr>
              <w:t>1.94</w:t>
            </w:r>
          </w:p>
        </w:tc>
      </w:tr>
      <w:tr w14:paraId="3356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continue"/>
            <w:vAlign w:val="center"/>
          </w:tcPr>
          <w:p w14:paraId="072FB2D8">
            <w:pPr>
              <w:adjustRightInd w:val="0"/>
              <w:snapToGrid w:val="0"/>
              <w:ind w:firstLine="420"/>
              <w:jc w:val="center"/>
              <w:rPr>
                <w:szCs w:val="21"/>
              </w:rPr>
            </w:pPr>
          </w:p>
        </w:tc>
        <w:tc>
          <w:tcPr>
            <w:tcW w:w="3045" w:type="dxa"/>
            <w:vAlign w:val="center"/>
          </w:tcPr>
          <w:p w14:paraId="7457833A">
            <w:pPr>
              <w:adjustRightInd w:val="0"/>
              <w:snapToGrid w:val="0"/>
              <w:jc w:val="center"/>
              <w:rPr>
                <w:szCs w:val="21"/>
              </w:rPr>
            </w:pPr>
            <w:r>
              <w:rPr>
                <w:szCs w:val="21"/>
              </w:rPr>
              <w:t>市场价</w:t>
            </w:r>
          </w:p>
        </w:tc>
        <w:tc>
          <w:tcPr>
            <w:tcW w:w="2059" w:type="dxa"/>
            <w:vAlign w:val="center"/>
          </w:tcPr>
          <w:p w14:paraId="010EDC11">
            <w:pPr>
              <w:adjustRightInd w:val="0"/>
              <w:snapToGrid w:val="0"/>
              <w:jc w:val="center"/>
              <w:rPr>
                <w:szCs w:val="21"/>
              </w:rPr>
            </w:pPr>
            <w:r>
              <w:rPr>
                <w:szCs w:val="21"/>
              </w:rPr>
              <w:t>3.70</w:t>
            </w:r>
          </w:p>
        </w:tc>
        <w:tc>
          <w:tcPr>
            <w:tcW w:w="1764" w:type="dxa"/>
            <w:vAlign w:val="center"/>
          </w:tcPr>
          <w:p w14:paraId="6A0E3EE1">
            <w:pPr>
              <w:adjustRightInd w:val="0"/>
              <w:snapToGrid w:val="0"/>
              <w:jc w:val="center"/>
              <w:rPr>
                <w:szCs w:val="21"/>
              </w:rPr>
            </w:pPr>
            <w:r>
              <w:rPr>
                <w:szCs w:val="21"/>
              </w:rPr>
              <w:t>1.97</w:t>
            </w:r>
          </w:p>
        </w:tc>
      </w:tr>
      <w:tr w14:paraId="1B6E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restart"/>
            <w:vAlign w:val="center"/>
          </w:tcPr>
          <w:p w14:paraId="792A0006">
            <w:pPr>
              <w:adjustRightInd w:val="0"/>
              <w:snapToGrid w:val="0"/>
              <w:ind w:firstLine="420"/>
              <w:rPr>
                <w:szCs w:val="21"/>
              </w:rPr>
            </w:pPr>
            <w:r>
              <w:rPr>
                <w:szCs w:val="21"/>
              </w:rPr>
              <w:t>2016</w:t>
            </w:r>
          </w:p>
        </w:tc>
        <w:tc>
          <w:tcPr>
            <w:tcW w:w="3045" w:type="dxa"/>
            <w:vAlign w:val="center"/>
          </w:tcPr>
          <w:p w14:paraId="5F42E5FE">
            <w:pPr>
              <w:adjustRightInd w:val="0"/>
              <w:snapToGrid w:val="0"/>
              <w:jc w:val="center"/>
              <w:rPr>
                <w:szCs w:val="21"/>
              </w:rPr>
            </w:pPr>
            <w:r>
              <w:rPr>
                <w:szCs w:val="21"/>
              </w:rPr>
              <w:t>国家收购价</w:t>
            </w:r>
          </w:p>
        </w:tc>
        <w:tc>
          <w:tcPr>
            <w:tcW w:w="2059" w:type="dxa"/>
            <w:vAlign w:val="center"/>
          </w:tcPr>
          <w:p w14:paraId="7CA23FFD">
            <w:pPr>
              <w:adjustRightInd w:val="0"/>
              <w:snapToGrid w:val="0"/>
              <w:jc w:val="center"/>
              <w:rPr>
                <w:szCs w:val="21"/>
              </w:rPr>
            </w:pPr>
            <w:r>
              <w:rPr>
                <w:szCs w:val="21"/>
              </w:rPr>
              <w:t>4.32</w:t>
            </w:r>
          </w:p>
        </w:tc>
        <w:tc>
          <w:tcPr>
            <w:tcW w:w="1764" w:type="dxa"/>
            <w:vAlign w:val="center"/>
          </w:tcPr>
          <w:p w14:paraId="1F17E613">
            <w:pPr>
              <w:adjustRightInd w:val="0"/>
              <w:snapToGrid w:val="0"/>
              <w:jc w:val="center"/>
              <w:rPr>
                <w:szCs w:val="21"/>
              </w:rPr>
            </w:pPr>
            <w:r>
              <w:rPr>
                <w:szCs w:val="21"/>
              </w:rPr>
              <w:t>2.14</w:t>
            </w:r>
          </w:p>
        </w:tc>
      </w:tr>
      <w:tr w14:paraId="05FB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continue"/>
            <w:vAlign w:val="center"/>
          </w:tcPr>
          <w:p w14:paraId="574F9B46">
            <w:pPr>
              <w:adjustRightInd w:val="0"/>
              <w:snapToGrid w:val="0"/>
              <w:ind w:firstLine="420"/>
              <w:jc w:val="center"/>
              <w:rPr>
                <w:szCs w:val="21"/>
              </w:rPr>
            </w:pPr>
          </w:p>
        </w:tc>
        <w:tc>
          <w:tcPr>
            <w:tcW w:w="3045" w:type="dxa"/>
            <w:vAlign w:val="center"/>
          </w:tcPr>
          <w:p w14:paraId="21DFA1FB">
            <w:pPr>
              <w:adjustRightInd w:val="0"/>
              <w:snapToGrid w:val="0"/>
              <w:jc w:val="center"/>
              <w:rPr>
                <w:szCs w:val="21"/>
              </w:rPr>
            </w:pPr>
            <w:r>
              <w:rPr>
                <w:szCs w:val="21"/>
              </w:rPr>
              <w:t>市场价</w:t>
            </w:r>
          </w:p>
        </w:tc>
        <w:tc>
          <w:tcPr>
            <w:tcW w:w="2059" w:type="dxa"/>
            <w:vAlign w:val="center"/>
          </w:tcPr>
          <w:p w14:paraId="35BB4BD9">
            <w:pPr>
              <w:adjustRightInd w:val="0"/>
              <w:snapToGrid w:val="0"/>
              <w:jc w:val="center"/>
              <w:rPr>
                <w:szCs w:val="21"/>
              </w:rPr>
            </w:pPr>
            <w:r>
              <w:rPr>
                <w:szCs w:val="21"/>
              </w:rPr>
              <w:t>4.42</w:t>
            </w:r>
          </w:p>
        </w:tc>
        <w:tc>
          <w:tcPr>
            <w:tcW w:w="1764" w:type="dxa"/>
            <w:vAlign w:val="center"/>
          </w:tcPr>
          <w:p w14:paraId="2C19A23A">
            <w:pPr>
              <w:adjustRightInd w:val="0"/>
              <w:snapToGrid w:val="0"/>
              <w:jc w:val="center"/>
              <w:rPr>
                <w:szCs w:val="21"/>
              </w:rPr>
            </w:pPr>
            <w:r>
              <w:rPr>
                <w:szCs w:val="21"/>
              </w:rPr>
              <w:t>2.35</w:t>
            </w:r>
          </w:p>
        </w:tc>
      </w:tr>
      <w:tr w14:paraId="1707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restart"/>
            <w:vAlign w:val="center"/>
          </w:tcPr>
          <w:p w14:paraId="762A3023">
            <w:pPr>
              <w:adjustRightInd w:val="0"/>
              <w:snapToGrid w:val="0"/>
              <w:ind w:firstLine="420"/>
              <w:rPr>
                <w:szCs w:val="21"/>
              </w:rPr>
            </w:pPr>
            <w:r>
              <w:rPr>
                <w:szCs w:val="21"/>
              </w:rPr>
              <w:t>2017</w:t>
            </w:r>
          </w:p>
        </w:tc>
        <w:tc>
          <w:tcPr>
            <w:tcW w:w="3045" w:type="dxa"/>
            <w:vAlign w:val="center"/>
          </w:tcPr>
          <w:p w14:paraId="240AFB85">
            <w:pPr>
              <w:adjustRightInd w:val="0"/>
              <w:snapToGrid w:val="0"/>
              <w:jc w:val="center"/>
              <w:rPr>
                <w:szCs w:val="21"/>
              </w:rPr>
            </w:pPr>
            <w:r>
              <w:rPr>
                <w:szCs w:val="21"/>
              </w:rPr>
              <w:t>国家收购价</w:t>
            </w:r>
          </w:p>
        </w:tc>
        <w:tc>
          <w:tcPr>
            <w:tcW w:w="2059" w:type="dxa"/>
            <w:vAlign w:val="center"/>
          </w:tcPr>
          <w:p w14:paraId="4D5F0A2E">
            <w:pPr>
              <w:adjustRightInd w:val="0"/>
              <w:snapToGrid w:val="0"/>
              <w:jc w:val="center"/>
              <w:rPr>
                <w:szCs w:val="21"/>
              </w:rPr>
            </w:pPr>
            <w:r>
              <w:rPr>
                <w:szCs w:val="21"/>
              </w:rPr>
              <w:t>4.40</w:t>
            </w:r>
          </w:p>
        </w:tc>
        <w:tc>
          <w:tcPr>
            <w:tcW w:w="1764" w:type="dxa"/>
            <w:vAlign w:val="center"/>
          </w:tcPr>
          <w:p w14:paraId="3A4F7879">
            <w:pPr>
              <w:adjustRightInd w:val="0"/>
              <w:snapToGrid w:val="0"/>
              <w:jc w:val="center"/>
              <w:rPr>
                <w:szCs w:val="21"/>
              </w:rPr>
            </w:pPr>
            <w:r>
              <w:rPr>
                <w:szCs w:val="21"/>
              </w:rPr>
              <w:t>2.50</w:t>
            </w:r>
          </w:p>
        </w:tc>
      </w:tr>
      <w:tr w14:paraId="4709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trPr>
        <w:tc>
          <w:tcPr>
            <w:tcW w:w="1428" w:type="dxa"/>
            <w:vMerge w:val="continue"/>
            <w:vAlign w:val="center"/>
          </w:tcPr>
          <w:p w14:paraId="3461184C">
            <w:pPr>
              <w:adjustRightInd w:val="0"/>
              <w:snapToGrid w:val="0"/>
              <w:ind w:firstLine="420"/>
              <w:jc w:val="center"/>
              <w:rPr>
                <w:szCs w:val="21"/>
              </w:rPr>
            </w:pPr>
          </w:p>
        </w:tc>
        <w:tc>
          <w:tcPr>
            <w:tcW w:w="3045" w:type="dxa"/>
            <w:vAlign w:val="center"/>
          </w:tcPr>
          <w:p w14:paraId="08EDA114">
            <w:pPr>
              <w:adjustRightInd w:val="0"/>
              <w:snapToGrid w:val="0"/>
              <w:jc w:val="center"/>
              <w:rPr>
                <w:szCs w:val="21"/>
              </w:rPr>
            </w:pPr>
            <w:r>
              <w:rPr>
                <w:szCs w:val="21"/>
              </w:rPr>
              <w:t>市场价</w:t>
            </w:r>
          </w:p>
        </w:tc>
        <w:tc>
          <w:tcPr>
            <w:tcW w:w="2059" w:type="dxa"/>
            <w:vAlign w:val="center"/>
          </w:tcPr>
          <w:p w14:paraId="68B26588">
            <w:pPr>
              <w:adjustRightInd w:val="0"/>
              <w:snapToGrid w:val="0"/>
              <w:jc w:val="center"/>
              <w:rPr>
                <w:szCs w:val="21"/>
              </w:rPr>
            </w:pPr>
            <w:r>
              <w:rPr>
                <w:szCs w:val="21"/>
              </w:rPr>
              <w:t>4.50</w:t>
            </w:r>
          </w:p>
        </w:tc>
        <w:tc>
          <w:tcPr>
            <w:tcW w:w="1764" w:type="dxa"/>
            <w:vAlign w:val="center"/>
          </w:tcPr>
          <w:p w14:paraId="4E18DFDB">
            <w:pPr>
              <w:adjustRightInd w:val="0"/>
              <w:snapToGrid w:val="0"/>
              <w:jc w:val="center"/>
              <w:rPr>
                <w:szCs w:val="21"/>
              </w:rPr>
            </w:pPr>
            <w:r>
              <w:rPr>
                <w:szCs w:val="21"/>
              </w:rPr>
              <w:t>2.80</w:t>
            </w:r>
          </w:p>
        </w:tc>
      </w:tr>
    </w:tbl>
    <w:p w14:paraId="12DBB83E">
      <w:pPr>
        <w:pStyle w:val="180"/>
        <w:ind w:firstLine="480"/>
      </w:pPr>
      <w:r>
        <w:rPr>
          <w:rFonts w:hint="eastAsia"/>
        </w:rPr>
        <w:t>（3）</w:t>
      </w:r>
      <w:r>
        <w:t>主要农作物平均年产值的确定</w:t>
      </w:r>
    </w:p>
    <w:p w14:paraId="78CB4509">
      <w:pPr>
        <w:snapToGrid w:val="0"/>
        <w:spacing w:line="360" w:lineRule="auto"/>
        <w:ind w:firstLine="480" w:firstLineChars="200"/>
        <w:rPr>
          <w:snapToGrid w:val="0"/>
          <w:sz w:val="24"/>
        </w:rPr>
      </w:pPr>
      <w:r>
        <w:rPr>
          <w:snapToGrid w:val="0"/>
          <w:sz w:val="24"/>
        </w:rPr>
        <w:t>将其平均亩产量和调整基准时点的价格逐一代入公式算，得到</w:t>
      </w:r>
      <w:r>
        <w:rPr>
          <w:rFonts w:hint="eastAsia"/>
          <w:snapToGrid w:val="0"/>
          <w:sz w:val="24"/>
        </w:rPr>
        <w:t>鄂州市</w:t>
      </w:r>
      <w:r>
        <w:rPr>
          <w:snapToGrid w:val="0"/>
          <w:sz w:val="24"/>
        </w:rPr>
        <w:t>主导耕作制度下的主要农作物的平均年产值，见表3-20。</w:t>
      </w:r>
    </w:p>
    <w:p w14:paraId="5653CDA4">
      <w:pPr>
        <w:snapToGrid w:val="0"/>
        <w:spacing w:line="360" w:lineRule="auto"/>
        <w:ind w:firstLine="480" w:firstLineChars="200"/>
        <w:rPr>
          <w:snapToGrid w:val="0"/>
          <w:sz w:val="24"/>
        </w:rPr>
      </w:pPr>
      <w:r>
        <w:rPr>
          <w:snapToGrid w:val="0"/>
          <w:sz w:val="24"/>
        </w:rPr>
        <w:t>一定耕作制度下的</w:t>
      </w:r>
      <w:r>
        <w:rPr>
          <w:rFonts w:ascii="宋体" w:hAnsi="宋体"/>
          <w:sz w:val="24"/>
        </w:rPr>
        <w:t>耕地</w:t>
      </w:r>
      <w:r>
        <w:rPr>
          <w:snapToGrid w:val="0"/>
          <w:sz w:val="24"/>
        </w:rPr>
        <w:t>年产值计算公式为：</w:t>
      </w:r>
    </w:p>
    <w:p w14:paraId="7B649365">
      <w:pPr>
        <w:suppressAutoHyphens/>
        <w:snapToGrid w:val="0"/>
        <w:spacing w:line="360" w:lineRule="auto"/>
        <w:ind w:firstLine="480" w:firstLineChars="200"/>
        <w:jc w:val="center"/>
        <w:rPr>
          <w:snapToGrid w:val="0"/>
          <w:sz w:val="24"/>
        </w:rPr>
      </w:pPr>
      <m:oMathPara>
        <m:oMath>
          <m:r>
            <m:rPr>
              <m:sty m:val="p"/>
            </m:rPr>
            <w:rPr>
              <w:rFonts w:ascii="Cambria Math" w:hAnsi="Cambria Math"/>
              <w:snapToGrid w:val="0"/>
              <w:sz w:val="24"/>
            </w:rPr>
            <m:t>V=</m:t>
          </m:r>
          <m:nary>
            <m:naryPr>
              <m:chr m:val="∑"/>
              <m:limLoc m:val="subSup"/>
              <m:ctrlPr>
                <w:rPr>
                  <w:rFonts w:ascii="Cambria Math" w:hAnsi="Cambria Math"/>
                  <w:snapToGrid w:val="0"/>
                  <w:sz w:val="24"/>
                </w:rPr>
              </m:ctrlPr>
            </m:naryPr>
            <m:sub>
              <m:r>
                <m:rPr>
                  <m:sty m:val="p"/>
                </m:rPr>
                <w:rPr>
                  <w:rFonts w:ascii="Cambria Math" w:hAnsi="Cambria Math"/>
                  <w:snapToGrid w:val="0"/>
                  <w:sz w:val="24"/>
                </w:rPr>
                <m:t>i=1</m:t>
              </m:r>
              <m:ctrlPr>
                <w:rPr>
                  <w:rFonts w:ascii="Cambria Math" w:hAnsi="Cambria Math"/>
                  <w:snapToGrid w:val="0"/>
                  <w:sz w:val="24"/>
                </w:rPr>
              </m:ctrlPr>
            </m:sub>
            <m:sup>
              <m:r>
                <m:rPr>
                  <m:sty m:val="p"/>
                </m:rPr>
                <w:rPr>
                  <w:rFonts w:ascii="Cambria Math" w:hAnsi="Cambria Math"/>
                  <w:snapToGrid w:val="0"/>
                  <w:sz w:val="24"/>
                </w:rPr>
                <m:t>n</m:t>
              </m:r>
              <m:ctrlPr>
                <w:rPr>
                  <w:rFonts w:ascii="Cambria Math" w:hAnsi="Cambria Math"/>
                  <w:snapToGrid w:val="0"/>
                  <w:sz w:val="24"/>
                </w:rPr>
              </m:ctrlPr>
            </m:sup>
            <m:e>
              <m:sSub>
                <m:sSubPr>
                  <m:ctrlPr>
                    <w:rPr>
                      <w:rFonts w:ascii="Cambria Math" w:hAnsi="Cambria Math"/>
                      <w:snapToGrid w:val="0"/>
                      <w:sz w:val="24"/>
                    </w:rPr>
                  </m:ctrlPr>
                </m:sSubPr>
                <m:e>
                  <m:r>
                    <m:rPr>
                      <m:sty m:val="p"/>
                    </m:rPr>
                    <w:rPr>
                      <w:rFonts w:ascii="Cambria Math" w:hAnsi="Cambria Math"/>
                      <w:snapToGrid w:val="0"/>
                      <w:sz w:val="24"/>
                    </w:rPr>
                    <m:t>ｇ</m:t>
                  </m:r>
                  <m:ctrlPr>
                    <w:rPr>
                      <w:rFonts w:ascii="Cambria Math" w:hAnsi="Cambria Math"/>
                      <w:snapToGrid w:val="0"/>
                      <w:sz w:val="24"/>
                    </w:rPr>
                  </m:ctrlPr>
                </m:e>
                <m:sub>
                  <m:r>
                    <m:rPr>
                      <m:sty m:val="p"/>
                    </m:rPr>
                    <w:rPr>
                      <w:rFonts w:ascii="Cambria Math" w:hAnsi="Cambria Math"/>
                      <w:snapToGrid w:val="0"/>
                      <w:sz w:val="24"/>
                    </w:rPr>
                    <m:t>i</m:t>
                  </m:r>
                  <m:ctrlPr>
                    <w:rPr>
                      <w:rFonts w:ascii="Cambria Math" w:hAnsi="Cambria Math"/>
                      <w:snapToGrid w:val="0"/>
                      <w:sz w:val="24"/>
                    </w:rPr>
                  </m:ctrlPr>
                </m:sub>
              </m:sSub>
              <m:r>
                <m:rPr>
                  <m:sty m:val="p"/>
                </m:rPr>
                <w:rPr>
                  <w:rFonts w:ascii="Cambria Math" w:hAnsi="Cambria Math"/>
                  <w:snapToGrid w:val="0"/>
                  <w:sz w:val="24"/>
                </w:rPr>
                <m:t>×</m:t>
              </m:r>
              <m:sSub>
                <m:sSubPr>
                  <m:ctrlPr>
                    <w:rPr>
                      <w:rFonts w:ascii="Cambria Math" w:hAnsi="Cambria Math"/>
                      <w:snapToGrid w:val="0"/>
                      <w:sz w:val="24"/>
                    </w:rPr>
                  </m:ctrlPr>
                </m:sSubPr>
                <m:e>
                  <m:r>
                    <m:rPr>
                      <m:sty m:val="p"/>
                    </m:rPr>
                    <w:rPr>
                      <w:rFonts w:ascii="Cambria Math" w:hAnsi="Cambria Math"/>
                      <w:snapToGrid w:val="0"/>
                      <w:sz w:val="24"/>
                    </w:rPr>
                    <m:t>p</m:t>
                  </m:r>
                  <m:ctrlPr>
                    <w:rPr>
                      <w:rFonts w:ascii="Cambria Math" w:hAnsi="Cambria Math"/>
                      <w:snapToGrid w:val="0"/>
                      <w:sz w:val="24"/>
                    </w:rPr>
                  </m:ctrlPr>
                </m:e>
                <m:sub>
                  <m:r>
                    <m:rPr>
                      <m:sty m:val="p"/>
                    </m:rPr>
                    <w:rPr>
                      <w:rFonts w:ascii="Cambria Math" w:hAnsi="Cambria Math"/>
                      <w:snapToGrid w:val="0"/>
                      <w:sz w:val="24"/>
                    </w:rPr>
                    <m:t>i</m:t>
                  </m:r>
                  <m:ctrlPr>
                    <w:rPr>
                      <w:rFonts w:ascii="Cambria Math" w:hAnsi="Cambria Math"/>
                      <w:snapToGrid w:val="0"/>
                      <w:sz w:val="24"/>
                    </w:rPr>
                  </m:ctrlPr>
                </m:sub>
              </m:sSub>
              <m:ctrlPr>
                <w:rPr>
                  <w:rFonts w:ascii="Cambria Math" w:hAnsi="Cambria Math"/>
                  <w:snapToGrid w:val="0"/>
                  <w:sz w:val="24"/>
                </w:rPr>
              </m:ctrlPr>
            </m:e>
          </m:nary>
        </m:oMath>
      </m:oMathPara>
    </w:p>
    <w:p w14:paraId="3DDEB1B6">
      <w:pPr>
        <w:snapToGrid w:val="0"/>
        <w:spacing w:line="360" w:lineRule="auto"/>
        <w:ind w:firstLine="480" w:firstLineChars="200"/>
        <w:rPr>
          <w:snapToGrid w:val="0"/>
          <w:sz w:val="24"/>
        </w:rPr>
      </w:pPr>
      <w:r>
        <w:rPr>
          <w:snapToGrid w:val="0"/>
          <w:sz w:val="24"/>
        </w:rPr>
        <w:t>式中：</w:t>
      </w:r>
      <w:r>
        <w:rPr>
          <w:i/>
          <w:snapToGrid w:val="0"/>
          <w:sz w:val="24"/>
        </w:rPr>
        <w:t>V</w:t>
      </w:r>
      <w:r>
        <w:rPr>
          <w:snapToGrid w:val="0"/>
          <w:sz w:val="24"/>
        </w:rPr>
        <w:t>表示单位面积农作物年产值；</w:t>
      </w:r>
      <w:r>
        <w:rPr>
          <w:i/>
          <w:snapToGrid w:val="0"/>
          <w:sz w:val="24"/>
        </w:rPr>
        <w:t>g</w:t>
      </w:r>
      <w:r>
        <w:rPr>
          <w:i/>
          <w:snapToGrid w:val="0"/>
          <w:sz w:val="24"/>
          <w:vertAlign w:val="subscript"/>
        </w:rPr>
        <w:t>i</w:t>
      </w:r>
      <w:r>
        <w:rPr>
          <w:snapToGrid w:val="0"/>
          <w:sz w:val="24"/>
        </w:rPr>
        <w:t>表示</w:t>
      </w:r>
      <w:r>
        <w:rPr>
          <w:i/>
          <w:snapToGrid w:val="0"/>
          <w:sz w:val="24"/>
        </w:rPr>
        <w:t>i</w:t>
      </w:r>
      <w:r>
        <w:rPr>
          <w:snapToGrid w:val="0"/>
          <w:sz w:val="24"/>
        </w:rPr>
        <w:t>类作物的单位播种面积年产量；</w:t>
      </w:r>
      <w:r>
        <w:rPr>
          <w:i/>
          <w:snapToGrid w:val="0"/>
          <w:sz w:val="24"/>
        </w:rPr>
        <w:t>p</w:t>
      </w:r>
      <w:r>
        <w:rPr>
          <w:i/>
          <w:snapToGrid w:val="0"/>
          <w:sz w:val="24"/>
          <w:vertAlign w:val="subscript"/>
        </w:rPr>
        <w:t>i</w:t>
      </w:r>
      <w:r>
        <w:rPr>
          <w:snapToGrid w:val="0"/>
          <w:sz w:val="24"/>
        </w:rPr>
        <w:t>表示i类作物的调整基准时点的农产品价格；</w:t>
      </w:r>
      <w:r>
        <w:rPr>
          <w:i/>
          <w:snapToGrid w:val="0"/>
          <w:sz w:val="24"/>
        </w:rPr>
        <w:t>i</w:t>
      </w:r>
      <w:r>
        <w:rPr>
          <w:snapToGrid w:val="0"/>
          <w:sz w:val="24"/>
        </w:rPr>
        <w:t>表示某种耕作制度所包括的</w:t>
      </w:r>
      <w:r>
        <w:rPr>
          <w:i/>
          <w:snapToGrid w:val="0"/>
          <w:sz w:val="24"/>
        </w:rPr>
        <w:t>i</w:t>
      </w:r>
      <w:r>
        <w:rPr>
          <w:snapToGrid w:val="0"/>
          <w:sz w:val="24"/>
        </w:rPr>
        <w:t>类作物，</w:t>
      </w:r>
      <w:r>
        <w:rPr>
          <w:i/>
          <w:snapToGrid w:val="0"/>
          <w:sz w:val="24"/>
        </w:rPr>
        <w:t>n</w:t>
      </w:r>
      <w:r>
        <w:rPr>
          <w:snapToGrid w:val="0"/>
          <w:sz w:val="24"/>
        </w:rPr>
        <w:t>表示某种耕作制度所包括作物种数。</w:t>
      </w:r>
    </w:p>
    <w:p w14:paraId="3EA2F215">
      <w:pPr>
        <w:snapToGrid w:val="0"/>
        <w:spacing w:line="360" w:lineRule="auto"/>
        <w:ind w:firstLine="480" w:firstLineChars="200"/>
        <w:rPr>
          <w:snapToGrid w:val="0"/>
          <w:sz w:val="24"/>
        </w:rPr>
      </w:pPr>
      <w:r>
        <w:rPr>
          <w:snapToGrid w:val="0"/>
          <w:sz w:val="24"/>
        </w:rPr>
        <w:t>根据上述公式计算各乡镇年产值标准时，</w:t>
      </w:r>
      <w:r>
        <w:rPr>
          <w:i/>
          <w:snapToGrid w:val="0"/>
          <w:sz w:val="24"/>
        </w:rPr>
        <w:t>g</w:t>
      </w:r>
      <w:r>
        <w:rPr>
          <w:i/>
          <w:snapToGrid w:val="0"/>
          <w:sz w:val="24"/>
          <w:vertAlign w:val="subscript"/>
        </w:rPr>
        <w:t>i</w:t>
      </w:r>
      <w:r>
        <w:rPr>
          <w:snapToGrid w:val="0"/>
          <w:sz w:val="24"/>
        </w:rPr>
        <w:t>取各作物2015-2017年亩均产量的平均值，</w:t>
      </w:r>
      <w:r>
        <w:rPr>
          <w:i/>
          <w:snapToGrid w:val="0"/>
          <w:sz w:val="24"/>
        </w:rPr>
        <w:t>p</w:t>
      </w:r>
      <w:r>
        <w:rPr>
          <w:i/>
          <w:snapToGrid w:val="0"/>
          <w:sz w:val="24"/>
          <w:vertAlign w:val="subscript"/>
        </w:rPr>
        <w:t>i</w:t>
      </w:r>
      <w:r>
        <w:rPr>
          <w:snapToGrid w:val="0"/>
          <w:sz w:val="24"/>
        </w:rPr>
        <w:t>取测算基准时点农作物市场价和国家收购价中较高者，计算各</w:t>
      </w:r>
      <w:r>
        <w:rPr>
          <w:rFonts w:hint="eastAsia"/>
          <w:snapToGrid w:val="0"/>
          <w:sz w:val="24"/>
        </w:rPr>
        <w:t>级别</w:t>
      </w:r>
      <w:r>
        <w:rPr>
          <w:snapToGrid w:val="0"/>
          <w:sz w:val="24"/>
        </w:rPr>
        <w:t>农作物年产值如表3-20。</w:t>
      </w:r>
    </w:p>
    <w:p w14:paraId="32545BBD">
      <w:pPr>
        <w:snapToGrid w:val="0"/>
        <w:spacing w:before="156" w:beforeLines="50"/>
        <w:ind w:firstLine="422"/>
        <w:jc w:val="center"/>
        <w:rPr>
          <w:b/>
          <w:snapToGrid w:val="0"/>
          <w:szCs w:val="21"/>
        </w:rPr>
      </w:pPr>
      <w:r>
        <w:rPr>
          <w:b/>
          <w:snapToGrid w:val="0"/>
          <w:szCs w:val="21"/>
        </w:rPr>
        <w:t>表3-20 鄂州市2015-2017年各</w:t>
      </w:r>
      <w:r>
        <w:rPr>
          <w:rFonts w:hint="eastAsia"/>
          <w:b/>
          <w:snapToGrid w:val="0"/>
          <w:szCs w:val="21"/>
        </w:rPr>
        <w:t>级别</w:t>
      </w:r>
      <w:r>
        <w:rPr>
          <w:b/>
          <w:snapToGrid w:val="0"/>
          <w:szCs w:val="21"/>
        </w:rPr>
        <w:t>农作物平均年产值</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2"/>
        <w:gridCol w:w="1635"/>
        <w:gridCol w:w="907"/>
        <w:gridCol w:w="907"/>
        <w:gridCol w:w="910"/>
        <w:gridCol w:w="845"/>
        <w:gridCol w:w="844"/>
        <w:gridCol w:w="842"/>
      </w:tblGrid>
      <w:tr w14:paraId="1B1C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7" w:type="pct"/>
            <w:gridSpan w:val="2"/>
          </w:tcPr>
          <w:p w14:paraId="2E2BF8F1">
            <w:pPr>
              <w:jc w:val="center"/>
            </w:pPr>
            <w:r>
              <w:t>级别</w:t>
            </w:r>
          </w:p>
        </w:tc>
        <w:tc>
          <w:tcPr>
            <w:tcW w:w="1598" w:type="pct"/>
            <w:gridSpan w:val="3"/>
          </w:tcPr>
          <w:p w14:paraId="37D50891">
            <w:pPr>
              <w:jc w:val="center"/>
            </w:pPr>
            <w:r>
              <w:rPr>
                <w:rFonts w:hint="eastAsia" w:ascii="宋体" w:hAnsi="宋体" w:cs="宋体"/>
              </w:rPr>
              <w:t>Ⅰ</w:t>
            </w:r>
            <w:r>
              <w:t>级</w:t>
            </w:r>
          </w:p>
        </w:tc>
        <w:tc>
          <w:tcPr>
            <w:tcW w:w="1485" w:type="pct"/>
            <w:gridSpan w:val="3"/>
          </w:tcPr>
          <w:p w14:paraId="7B9B9278">
            <w:pPr>
              <w:jc w:val="center"/>
            </w:pPr>
            <w:r>
              <w:rPr>
                <w:rFonts w:hint="eastAsia" w:ascii="宋体" w:hAnsi="宋体" w:cs="宋体"/>
              </w:rPr>
              <w:t>Ⅱ</w:t>
            </w:r>
            <w:r>
              <w:t>级</w:t>
            </w:r>
          </w:p>
        </w:tc>
      </w:tr>
      <w:tr w14:paraId="233E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7" w:type="pct"/>
            <w:gridSpan w:val="2"/>
          </w:tcPr>
          <w:p w14:paraId="796A75A3">
            <w:pPr>
              <w:jc w:val="center"/>
            </w:pPr>
            <w:r>
              <w:t>作物</w:t>
            </w:r>
          </w:p>
        </w:tc>
        <w:tc>
          <w:tcPr>
            <w:tcW w:w="532" w:type="pct"/>
          </w:tcPr>
          <w:p w14:paraId="0F571E08">
            <w:pPr>
              <w:jc w:val="center"/>
            </w:pPr>
            <w:r>
              <w:t>中稻</w:t>
            </w:r>
          </w:p>
        </w:tc>
        <w:tc>
          <w:tcPr>
            <w:tcW w:w="532" w:type="pct"/>
          </w:tcPr>
          <w:p w14:paraId="2A2206FF">
            <w:pPr>
              <w:jc w:val="center"/>
            </w:pPr>
            <w:r>
              <w:t>油菜</w:t>
            </w:r>
          </w:p>
        </w:tc>
        <w:tc>
          <w:tcPr>
            <w:tcW w:w="534" w:type="pct"/>
          </w:tcPr>
          <w:p w14:paraId="45B74D75">
            <w:pPr>
              <w:jc w:val="center"/>
            </w:pPr>
            <w:r>
              <w:t>合计</w:t>
            </w:r>
          </w:p>
        </w:tc>
        <w:tc>
          <w:tcPr>
            <w:tcW w:w="496" w:type="pct"/>
          </w:tcPr>
          <w:p w14:paraId="1A5683F1">
            <w:pPr>
              <w:jc w:val="center"/>
            </w:pPr>
            <w:r>
              <w:t>中稻</w:t>
            </w:r>
          </w:p>
        </w:tc>
        <w:tc>
          <w:tcPr>
            <w:tcW w:w="495" w:type="pct"/>
          </w:tcPr>
          <w:p w14:paraId="23996195">
            <w:pPr>
              <w:jc w:val="center"/>
            </w:pPr>
            <w:r>
              <w:t>油菜</w:t>
            </w:r>
          </w:p>
        </w:tc>
        <w:tc>
          <w:tcPr>
            <w:tcW w:w="494" w:type="pct"/>
          </w:tcPr>
          <w:p w14:paraId="162262AC">
            <w:pPr>
              <w:jc w:val="center"/>
            </w:pPr>
            <w:r>
              <w:t>合计</w:t>
            </w:r>
          </w:p>
        </w:tc>
      </w:tr>
      <w:tr w14:paraId="3F31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vMerge w:val="restart"/>
            <w:vAlign w:val="center"/>
          </w:tcPr>
          <w:p w14:paraId="5CF0C8F4">
            <w:pPr>
              <w:jc w:val="center"/>
            </w:pPr>
            <w:r>
              <w:t>亩均年总收益（元）</w:t>
            </w:r>
          </w:p>
        </w:tc>
        <w:tc>
          <w:tcPr>
            <w:tcW w:w="959" w:type="pct"/>
            <w:vAlign w:val="center"/>
          </w:tcPr>
          <w:p w14:paraId="054D0B21">
            <w:pPr>
              <w:jc w:val="center"/>
            </w:pPr>
            <w:r>
              <w:t>最大值</w:t>
            </w:r>
          </w:p>
        </w:tc>
        <w:tc>
          <w:tcPr>
            <w:tcW w:w="532" w:type="pct"/>
            <w:vAlign w:val="center"/>
          </w:tcPr>
          <w:p w14:paraId="0064EBD6">
            <w:pPr>
              <w:jc w:val="center"/>
            </w:pPr>
            <w:r>
              <w:t>1694</w:t>
            </w:r>
          </w:p>
        </w:tc>
        <w:tc>
          <w:tcPr>
            <w:tcW w:w="532" w:type="pct"/>
            <w:vAlign w:val="center"/>
          </w:tcPr>
          <w:p w14:paraId="23D133A5">
            <w:pPr>
              <w:jc w:val="center"/>
            </w:pPr>
            <w:r>
              <w:t>988</w:t>
            </w:r>
          </w:p>
        </w:tc>
        <w:tc>
          <w:tcPr>
            <w:tcW w:w="534" w:type="pct"/>
          </w:tcPr>
          <w:p w14:paraId="6A908271">
            <w:pPr>
              <w:jc w:val="center"/>
            </w:pPr>
            <w:r>
              <w:t>2682</w:t>
            </w:r>
          </w:p>
        </w:tc>
        <w:tc>
          <w:tcPr>
            <w:tcW w:w="496" w:type="pct"/>
            <w:vAlign w:val="center"/>
          </w:tcPr>
          <w:p w14:paraId="42E73FE7">
            <w:pPr>
              <w:jc w:val="center"/>
            </w:pPr>
            <w:r>
              <w:t>1562</w:t>
            </w:r>
          </w:p>
        </w:tc>
        <w:tc>
          <w:tcPr>
            <w:tcW w:w="495" w:type="pct"/>
            <w:vAlign w:val="center"/>
          </w:tcPr>
          <w:p w14:paraId="46211F15">
            <w:pPr>
              <w:jc w:val="center"/>
            </w:pPr>
            <w:r>
              <w:t>898</w:t>
            </w:r>
          </w:p>
        </w:tc>
        <w:tc>
          <w:tcPr>
            <w:tcW w:w="494" w:type="pct"/>
          </w:tcPr>
          <w:p w14:paraId="77B3592A">
            <w:pPr>
              <w:jc w:val="center"/>
            </w:pPr>
            <w:r>
              <w:t>2460</w:t>
            </w:r>
          </w:p>
        </w:tc>
      </w:tr>
      <w:tr w14:paraId="2072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vMerge w:val="continue"/>
            <w:vAlign w:val="center"/>
          </w:tcPr>
          <w:p w14:paraId="101B26CA">
            <w:pPr>
              <w:jc w:val="center"/>
            </w:pPr>
          </w:p>
        </w:tc>
        <w:tc>
          <w:tcPr>
            <w:tcW w:w="959" w:type="pct"/>
            <w:vAlign w:val="center"/>
          </w:tcPr>
          <w:p w14:paraId="550D9C5E">
            <w:pPr>
              <w:jc w:val="center"/>
            </w:pPr>
            <w:r>
              <w:t>最小值</w:t>
            </w:r>
          </w:p>
        </w:tc>
        <w:tc>
          <w:tcPr>
            <w:tcW w:w="532" w:type="pct"/>
            <w:vAlign w:val="center"/>
          </w:tcPr>
          <w:p w14:paraId="181B4787">
            <w:pPr>
              <w:jc w:val="center"/>
            </w:pPr>
            <w:r>
              <w:t>1366</w:t>
            </w:r>
          </w:p>
        </w:tc>
        <w:tc>
          <w:tcPr>
            <w:tcW w:w="532" w:type="pct"/>
            <w:vAlign w:val="center"/>
          </w:tcPr>
          <w:p w14:paraId="7C2AB525">
            <w:pPr>
              <w:jc w:val="center"/>
            </w:pPr>
            <w:r>
              <w:t>691</w:t>
            </w:r>
          </w:p>
        </w:tc>
        <w:tc>
          <w:tcPr>
            <w:tcW w:w="534" w:type="pct"/>
          </w:tcPr>
          <w:p w14:paraId="5B8121AA">
            <w:pPr>
              <w:jc w:val="center"/>
            </w:pPr>
            <w:r>
              <w:t>2057</w:t>
            </w:r>
          </w:p>
        </w:tc>
        <w:tc>
          <w:tcPr>
            <w:tcW w:w="496" w:type="pct"/>
            <w:vAlign w:val="center"/>
          </w:tcPr>
          <w:p w14:paraId="4FD5D817">
            <w:pPr>
              <w:jc w:val="center"/>
            </w:pPr>
            <w:r>
              <w:t>1187</w:t>
            </w:r>
          </w:p>
        </w:tc>
        <w:tc>
          <w:tcPr>
            <w:tcW w:w="495" w:type="pct"/>
            <w:vAlign w:val="center"/>
          </w:tcPr>
          <w:p w14:paraId="409E9B68">
            <w:pPr>
              <w:jc w:val="center"/>
            </w:pPr>
            <w:r>
              <w:t>571</w:t>
            </w:r>
          </w:p>
        </w:tc>
        <w:tc>
          <w:tcPr>
            <w:tcW w:w="494" w:type="pct"/>
          </w:tcPr>
          <w:p w14:paraId="42CEBD46">
            <w:pPr>
              <w:jc w:val="center"/>
            </w:pPr>
            <w:r>
              <w:t>1758</w:t>
            </w:r>
          </w:p>
        </w:tc>
      </w:tr>
      <w:tr w14:paraId="6B3E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vMerge w:val="continue"/>
            <w:vAlign w:val="center"/>
          </w:tcPr>
          <w:p w14:paraId="2FAA5855">
            <w:pPr>
              <w:jc w:val="center"/>
            </w:pPr>
          </w:p>
        </w:tc>
        <w:tc>
          <w:tcPr>
            <w:tcW w:w="959" w:type="pct"/>
            <w:vAlign w:val="center"/>
          </w:tcPr>
          <w:p w14:paraId="32CC9C9C">
            <w:pPr>
              <w:jc w:val="center"/>
            </w:pPr>
            <w:r>
              <w:t>均值</w:t>
            </w:r>
          </w:p>
        </w:tc>
        <w:tc>
          <w:tcPr>
            <w:tcW w:w="532" w:type="pct"/>
            <w:vAlign w:val="center"/>
          </w:tcPr>
          <w:p w14:paraId="3A8102ED">
            <w:pPr>
              <w:jc w:val="center"/>
            </w:pPr>
            <w:r>
              <w:t>1512</w:t>
            </w:r>
          </w:p>
        </w:tc>
        <w:tc>
          <w:tcPr>
            <w:tcW w:w="532" w:type="pct"/>
            <w:vAlign w:val="center"/>
          </w:tcPr>
          <w:p w14:paraId="790C3DF2">
            <w:pPr>
              <w:jc w:val="center"/>
            </w:pPr>
            <w:r>
              <w:t>845</w:t>
            </w:r>
          </w:p>
        </w:tc>
        <w:tc>
          <w:tcPr>
            <w:tcW w:w="534" w:type="pct"/>
          </w:tcPr>
          <w:p w14:paraId="3C0966A0">
            <w:pPr>
              <w:jc w:val="center"/>
            </w:pPr>
            <w:r>
              <w:t>2357</w:t>
            </w:r>
          </w:p>
        </w:tc>
        <w:tc>
          <w:tcPr>
            <w:tcW w:w="496" w:type="pct"/>
            <w:vAlign w:val="center"/>
          </w:tcPr>
          <w:p w14:paraId="0B9B89E2">
            <w:pPr>
              <w:jc w:val="center"/>
            </w:pPr>
            <w:r>
              <w:t>1394</w:t>
            </w:r>
          </w:p>
        </w:tc>
        <w:tc>
          <w:tcPr>
            <w:tcW w:w="495" w:type="pct"/>
            <w:vAlign w:val="center"/>
          </w:tcPr>
          <w:p w14:paraId="30D12668">
            <w:pPr>
              <w:jc w:val="center"/>
            </w:pPr>
            <w:r>
              <w:t>729</w:t>
            </w:r>
          </w:p>
        </w:tc>
        <w:tc>
          <w:tcPr>
            <w:tcW w:w="494" w:type="pct"/>
          </w:tcPr>
          <w:p w14:paraId="725F7BF4">
            <w:pPr>
              <w:jc w:val="center"/>
            </w:pPr>
            <w:r>
              <w:t>2133</w:t>
            </w:r>
          </w:p>
        </w:tc>
      </w:tr>
    </w:tbl>
    <w:p w14:paraId="79B7ABD5">
      <w:pPr>
        <w:snapToGrid w:val="0"/>
        <w:spacing w:line="500" w:lineRule="exact"/>
        <w:ind w:firstLine="480" w:firstLineChars="200"/>
        <w:rPr>
          <w:snapToGrid w:val="0"/>
          <w:sz w:val="24"/>
        </w:rPr>
      </w:pPr>
      <w:r>
        <w:rPr>
          <w:snapToGrid w:val="0"/>
          <w:sz w:val="24"/>
        </w:rPr>
        <w:t>初步测算出来的主导耕作制度下的年产值，还没有完全反映被征收</w:t>
      </w:r>
      <w:r>
        <w:rPr>
          <w:rFonts w:ascii="宋体" w:hAnsi="宋体"/>
          <w:sz w:val="24"/>
        </w:rPr>
        <w:t>国有农用地</w:t>
      </w:r>
      <w:r>
        <w:rPr>
          <w:snapToGrid w:val="0"/>
          <w:sz w:val="24"/>
        </w:rPr>
        <w:t>的综合收益值，如果被征收</w:t>
      </w:r>
      <w:r>
        <w:rPr>
          <w:rFonts w:ascii="宋体" w:hAnsi="宋体"/>
          <w:sz w:val="24"/>
        </w:rPr>
        <w:t>国有农用地</w:t>
      </w:r>
      <w:r>
        <w:rPr>
          <w:snapToGrid w:val="0"/>
          <w:sz w:val="24"/>
        </w:rPr>
        <w:t>上有附加经营效益还应考虑土地附加收益进行修正计算，得到</w:t>
      </w:r>
      <w:r>
        <w:rPr>
          <w:rFonts w:hint="eastAsia"/>
          <w:snapToGrid w:val="0"/>
          <w:sz w:val="24"/>
        </w:rPr>
        <w:t>鄂州市</w:t>
      </w:r>
      <w:r>
        <w:rPr>
          <w:snapToGrid w:val="0"/>
          <w:sz w:val="24"/>
        </w:rPr>
        <w:t>的平均年产值，公式如下：</w:t>
      </w:r>
    </w:p>
    <w:p w14:paraId="77768320">
      <w:pPr>
        <w:snapToGrid w:val="0"/>
        <w:spacing w:line="360" w:lineRule="auto"/>
        <w:ind w:firstLine="480" w:firstLineChars="200"/>
        <w:jc w:val="center"/>
        <w:rPr>
          <w:snapToGrid w:val="0"/>
          <w:sz w:val="24"/>
        </w:rPr>
      </w:pPr>
      <m:oMathPara>
        <m:oMath>
          <m:sSub>
            <m:sSubPr>
              <m:ctrlPr>
                <w:rPr>
                  <w:rFonts w:ascii="Cambria Math" w:hAnsi="Cambria Math"/>
                  <w:snapToGrid w:val="0"/>
                  <w:sz w:val="24"/>
                </w:rPr>
              </m:ctrlPr>
            </m:sSubPr>
            <m:e>
              <m:r>
                <m:rPr>
                  <m:sty m:val="p"/>
                </m:rPr>
                <w:rPr>
                  <w:rFonts w:ascii="Cambria Math" w:hAnsi="Cambria Math"/>
                  <w:snapToGrid w:val="0"/>
                  <w:sz w:val="24"/>
                </w:rPr>
                <m:t>V</m:t>
              </m:r>
              <m:ctrlPr>
                <w:rPr>
                  <w:rFonts w:ascii="Cambria Math" w:hAnsi="Cambria Math"/>
                  <w:snapToGrid w:val="0"/>
                  <w:sz w:val="24"/>
                </w:rPr>
              </m:ctrlPr>
            </m:e>
            <m:sub>
              <m:r>
                <m:rPr>
                  <m:sty m:val="p"/>
                </m:rPr>
                <w:rPr>
                  <w:rFonts w:ascii="Cambria Math" w:hAnsi="Cambria Math"/>
                  <w:snapToGrid w:val="0"/>
                  <w:sz w:val="24"/>
                </w:rPr>
                <m:t>t</m:t>
              </m:r>
              <m:ctrlPr>
                <w:rPr>
                  <w:rFonts w:ascii="Cambria Math" w:hAnsi="Cambria Math"/>
                  <w:snapToGrid w:val="0"/>
                  <w:sz w:val="24"/>
                </w:rPr>
              </m:ctrlPr>
            </m:sub>
          </m:sSub>
          <m:r>
            <m:rPr>
              <m:sty m:val="p"/>
            </m:rPr>
            <w:rPr>
              <w:rFonts w:ascii="Cambria Math" w:hAnsi="Cambria Math"/>
              <w:snapToGrid w:val="0"/>
              <w:sz w:val="24"/>
            </w:rPr>
            <m:t>=V∗(1+k)</m:t>
          </m:r>
        </m:oMath>
      </m:oMathPara>
    </w:p>
    <w:p w14:paraId="39C8D8F9">
      <w:pPr>
        <w:snapToGrid w:val="0"/>
        <w:spacing w:line="500" w:lineRule="exact"/>
        <w:ind w:firstLine="480" w:firstLineChars="200"/>
        <w:rPr>
          <w:snapToGrid w:val="0"/>
          <w:sz w:val="24"/>
        </w:rPr>
      </w:pPr>
      <w:r>
        <w:rPr>
          <w:snapToGrid w:val="0"/>
          <w:sz w:val="24"/>
        </w:rPr>
        <w:t>式中：Vt为每个级别平均年产值；V为主导耕作制度下单位面积农作物年产值；k为土地附加收益修正系数之和。</w:t>
      </w:r>
    </w:p>
    <w:p w14:paraId="2AB39BA3">
      <w:pPr>
        <w:snapToGrid w:val="0"/>
        <w:spacing w:line="500" w:lineRule="exact"/>
        <w:ind w:firstLine="480" w:firstLineChars="200"/>
        <w:rPr>
          <w:snapToGrid w:val="0"/>
          <w:sz w:val="24"/>
        </w:rPr>
      </w:pPr>
      <w:r>
        <w:rPr>
          <w:snapToGrid w:val="0"/>
          <w:sz w:val="24"/>
        </w:rPr>
        <w:t>经乡镇实地调查和咨询鄂州市农业部门，鄂州市普遍不存在附加经营情况，不需要进行土地附加收益修正。</w:t>
      </w:r>
    </w:p>
    <w:p w14:paraId="3772AA23">
      <w:pPr>
        <w:snapToGrid w:val="0"/>
        <w:spacing w:line="500" w:lineRule="exact"/>
        <w:ind w:firstLine="480" w:firstLineChars="200"/>
        <w:rPr>
          <w:snapToGrid w:val="0"/>
          <w:sz w:val="24"/>
        </w:rPr>
      </w:pPr>
      <w:r>
        <w:rPr>
          <w:snapToGrid w:val="0"/>
          <w:sz w:val="24"/>
        </w:rPr>
        <w:t>需要说明的是，这一平均年产值反映的是鄂州市</w:t>
      </w:r>
      <w:r>
        <w:rPr>
          <w:rFonts w:ascii="宋体" w:hAnsi="宋体"/>
          <w:sz w:val="24"/>
        </w:rPr>
        <w:t>国有农用地</w:t>
      </w:r>
      <w:r>
        <w:rPr>
          <w:snapToGrid w:val="0"/>
          <w:sz w:val="24"/>
        </w:rPr>
        <w:t>平均经营水平和平均产出水平。土地的平均年产值是该级别内的平均值，同一级别行政区域内其它乡镇的年产值在该级别平均水平上下波动。同一级别平均年产值相对应的土地条件是该级别行政区域内的一般条件，通过与其一般条件的比较，根据二者在区域因素和个别因素等方面的差异大小，在同一级别平均年产值的基础上进行修正计算，即可获得每个乡镇单位土地的平均产值。</w:t>
      </w:r>
    </w:p>
    <w:p w14:paraId="492B3AF4">
      <w:pPr>
        <w:pStyle w:val="180"/>
        <w:ind w:firstLine="480"/>
      </w:pPr>
      <w:r>
        <w:rPr>
          <w:rFonts w:hint="eastAsia"/>
        </w:rPr>
        <w:t>（4）</w:t>
      </w:r>
      <w:r>
        <w:t>农地生产总成本的确定</w:t>
      </w:r>
    </w:p>
    <w:p w14:paraId="13C4423B">
      <w:pPr>
        <w:snapToGrid w:val="0"/>
        <w:spacing w:line="500" w:lineRule="exact"/>
        <w:ind w:firstLine="480" w:firstLineChars="200"/>
        <w:rPr>
          <w:snapToGrid w:val="0"/>
          <w:sz w:val="24"/>
        </w:rPr>
      </w:pPr>
      <w:r>
        <w:rPr>
          <w:snapToGrid w:val="0"/>
          <w:sz w:val="24"/>
        </w:rPr>
        <w:t>农地的生产成本依据2015、2016和2017三年《全国农产品成本收益资料汇编》进行计算，取三年的平均值</w:t>
      </w:r>
      <w:r>
        <w:rPr>
          <w:rFonts w:hint="eastAsia"/>
          <w:snapToGrid w:val="0"/>
          <w:sz w:val="24"/>
        </w:rPr>
        <w:t>，</w:t>
      </w:r>
      <w:r>
        <w:rPr>
          <w:snapToGrid w:val="0"/>
          <w:sz w:val="24"/>
        </w:rPr>
        <w:t>具体见表</w:t>
      </w:r>
      <w:r>
        <w:rPr>
          <w:rFonts w:hint="eastAsia"/>
          <w:snapToGrid w:val="0"/>
          <w:sz w:val="24"/>
        </w:rPr>
        <w:t>3</w:t>
      </w:r>
      <w:r>
        <w:rPr>
          <w:snapToGrid w:val="0"/>
          <w:sz w:val="24"/>
        </w:rPr>
        <w:t>-21。</w:t>
      </w:r>
    </w:p>
    <w:p w14:paraId="35F80CF6">
      <w:pPr>
        <w:snapToGrid w:val="0"/>
        <w:spacing w:before="156" w:beforeLines="50"/>
        <w:ind w:firstLine="422"/>
        <w:jc w:val="center"/>
        <w:rPr>
          <w:b/>
          <w:bCs/>
          <w:szCs w:val="21"/>
        </w:rPr>
      </w:pPr>
      <w:r>
        <w:rPr>
          <w:b/>
          <w:bCs/>
          <w:szCs w:val="21"/>
        </w:rPr>
        <w:t>表3-21鄂州市</w:t>
      </w:r>
      <w:r>
        <w:rPr>
          <w:rFonts w:hint="eastAsia"/>
          <w:b/>
          <w:bCs/>
          <w:szCs w:val="21"/>
        </w:rPr>
        <w:t>国有农用地主要</w:t>
      </w:r>
      <w:r>
        <w:rPr>
          <w:b/>
          <w:bCs/>
          <w:szCs w:val="21"/>
        </w:rPr>
        <w:t>作物成本</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1"/>
        <w:gridCol w:w="1166"/>
        <w:gridCol w:w="1164"/>
        <w:gridCol w:w="1144"/>
        <w:gridCol w:w="977"/>
      </w:tblGrid>
      <w:tr w14:paraId="5976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4192A8CF">
            <w:pPr>
              <w:jc w:val="center"/>
            </w:pPr>
            <w:r>
              <w:t>级别</w:t>
            </w:r>
          </w:p>
        </w:tc>
        <w:tc>
          <w:tcPr>
            <w:tcW w:w="1367" w:type="pct"/>
            <w:gridSpan w:val="2"/>
          </w:tcPr>
          <w:p w14:paraId="4A643B96">
            <w:pPr>
              <w:jc w:val="center"/>
            </w:pPr>
            <w:r>
              <w:rPr>
                <w:rFonts w:hint="eastAsia" w:ascii="宋体" w:hAnsi="宋体" w:cs="宋体"/>
              </w:rPr>
              <w:t>Ⅰ</w:t>
            </w:r>
            <w:r>
              <w:t>级</w:t>
            </w:r>
          </w:p>
        </w:tc>
        <w:tc>
          <w:tcPr>
            <w:tcW w:w="1244" w:type="pct"/>
            <w:gridSpan w:val="2"/>
          </w:tcPr>
          <w:p w14:paraId="5AB1CEBE">
            <w:pPr>
              <w:jc w:val="center"/>
            </w:pPr>
            <w:r>
              <w:rPr>
                <w:rFonts w:hint="eastAsia" w:ascii="宋体" w:hAnsi="宋体" w:cs="宋体"/>
              </w:rPr>
              <w:t>Ⅱ</w:t>
            </w:r>
            <w:r>
              <w:t>级</w:t>
            </w:r>
          </w:p>
        </w:tc>
      </w:tr>
      <w:tr w14:paraId="1AEC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64A947C4">
            <w:pPr>
              <w:jc w:val="center"/>
            </w:pPr>
            <w:r>
              <w:t>指标</w:t>
            </w:r>
          </w:p>
        </w:tc>
        <w:tc>
          <w:tcPr>
            <w:tcW w:w="684" w:type="pct"/>
          </w:tcPr>
          <w:p w14:paraId="6CB6BD00">
            <w:pPr>
              <w:jc w:val="center"/>
            </w:pPr>
            <w:r>
              <w:t>中稻</w:t>
            </w:r>
          </w:p>
        </w:tc>
        <w:tc>
          <w:tcPr>
            <w:tcW w:w="683" w:type="pct"/>
          </w:tcPr>
          <w:p w14:paraId="61F99608">
            <w:pPr>
              <w:jc w:val="center"/>
            </w:pPr>
            <w:r>
              <w:t>油菜</w:t>
            </w:r>
          </w:p>
        </w:tc>
        <w:tc>
          <w:tcPr>
            <w:tcW w:w="671" w:type="pct"/>
          </w:tcPr>
          <w:p w14:paraId="39FAC48D">
            <w:pPr>
              <w:jc w:val="center"/>
            </w:pPr>
            <w:r>
              <w:t>中稻</w:t>
            </w:r>
          </w:p>
        </w:tc>
        <w:tc>
          <w:tcPr>
            <w:tcW w:w="573" w:type="pct"/>
          </w:tcPr>
          <w:p w14:paraId="37512078">
            <w:pPr>
              <w:jc w:val="center"/>
            </w:pPr>
            <w:r>
              <w:t>油菜</w:t>
            </w:r>
          </w:p>
        </w:tc>
      </w:tr>
      <w:tr w14:paraId="21A1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89" w:type="pct"/>
            <w:vAlign w:val="center"/>
          </w:tcPr>
          <w:p w14:paraId="28A0BB10">
            <w:pPr>
              <w:jc w:val="center"/>
            </w:pPr>
            <w:r>
              <w:t>种子费用（元/亩）</w:t>
            </w:r>
          </w:p>
        </w:tc>
        <w:tc>
          <w:tcPr>
            <w:tcW w:w="684" w:type="pct"/>
          </w:tcPr>
          <w:p w14:paraId="65451373">
            <w:pPr>
              <w:jc w:val="center"/>
            </w:pPr>
            <w:r>
              <w:t>100</w:t>
            </w:r>
          </w:p>
        </w:tc>
        <w:tc>
          <w:tcPr>
            <w:tcW w:w="683" w:type="pct"/>
          </w:tcPr>
          <w:p w14:paraId="144CAD7C">
            <w:pPr>
              <w:jc w:val="center"/>
            </w:pPr>
            <w:r>
              <w:t>10</w:t>
            </w:r>
          </w:p>
        </w:tc>
        <w:tc>
          <w:tcPr>
            <w:tcW w:w="671" w:type="pct"/>
          </w:tcPr>
          <w:p w14:paraId="7C1B260E">
            <w:pPr>
              <w:jc w:val="center"/>
            </w:pPr>
            <w:r>
              <w:t>100</w:t>
            </w:r>
          </w:p>
        </w:tc>
        <w:tc>
          <w:tcPr>
            <w:tcW w:w="573" w:type="pct"/>
          </w:tcPr>
          <w:p w14:paraId="58AF8ACE">
            <w:pPr>
              <w:jc w:val="center"/>
            </w:pPr>
            <w:r>
              <w:t>10</w:t>
            </w:r>
          </w:p>
        </w:tc>
      </w:tr>
      <w:tr w14:paraId="1DA5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1E1250D6">
            <w:pPr>
              <w:jc w:val="center"/>
            </w:pPr>
            <w:r>
              <w:t>农药费用（元/亩）</w:t>
            </w:r>
          </w:p>
        </w:tc>
        <w:tc>
          <w:tcPr>
            <w:tcW w:w="684" w:type="pct"/>
          </w:tcPr>
          <w:p w14:paraId="1B9F8204">
            <w:pPr>
              <w:jc w:val="center"/>
            </w:pPr>
            <w:r>
              <w:t>40</w:t>
            </w:r>
          </w:p>
        </w:tc>
        <w:tc>
          <w:tcPr>
            <w:tcW w:w="683" w:type="pct"/>
          </w:tcPr>
          <w:p w14:paraId="1626C936">
            <w:pPr>
              <w:jc w:val="center"/>
            </w:pPr>
            <w:r>
              <w:t>30</w:t>
            </w:r>
          </w:p>
        </w:tc>
        <w:tc>
          <w:tcPr>
            <w:tcW w:w="671" w:type="pct"/>
          </w:tcPr>
          <w:p w14:paraId="40984A5C">
            <w:pPr>
              <w:jc w:val="center"/>
            </w:pPr>
            <w:r>
              <w:t>50</w:t>
            </w:r>
          </w:p>
        </w:tc>
        <w:tc>
          <w:tcPr>
            <w:tcW w:w="573" w:type="pct"/>
          </w:tcPr>
          <w:p w14:paraId="7DEB339A">
            <w:pPr>
              <w:jc w:val="center"/>
            </w:pPr>
            <w:r>
              <w:t>30</w:t>
            </w:r>
          </w:p>
        </w:tc>
      </w:tr>
      <w:tr w14:paraId="2EEF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56BE837E">
            <w:pPr>
              <w:jc w:val="center"/>
            </w:pPr>
            <w:r>
              <w:t>化肥费用（元/亩）</w:t>
            </w:r>
          </w:p>
        </w:tc>
        <w:tc>
          <w:tcPr>
            <w:tcW w:w="684" w:type="pct"/>
          </w:tcPr>
          <w:p w14:paraId="7875C90C">
            <w:pPr>
              <w:jc w:val="center"/>
            </w:pPr>
            <w:r>
              <w:t>100</w:t>
            </w:r>
          </w:p>
        </w:tc>
        <w:tc>
          <w:tcPr>
            <w:tcW w:w="683" w:type="pct"/>
          </w:tcPr>
          <w:p w14:paraId="788B0165">
            <w:pPr>
              <w:jc w:val="center"/>
            </w:pPr>
            <w:r>
              <w:t>100</w:t>
            </w:r>
          </w:p>
        </w:tc>
        <w:tc>
          <w:tcPr>
            <w:tcW w:w="671" w:type="pct"/>
          </w:tcPr>
          <w:p w14:paraId="0B0AC627">
            <w:pPr>
              <w:jc w:val="center"/>
            </w:pPr>
            <w:r>
              <w:t>100</w:t>
            </w:r>
          </w:p>
        </w:tc>
        <w:tc>
          <w:tcPr>
            <w:tcW w:w="573" w:type="pct"/>
          </w:tcPr>
          <w:p w14:paraId="5CCC066B">
            <w:pPr>
              <w:jc w:val="center"/>
            </w:pPr>
            <w:r>
              <w:t>100</w:t>
            </w:r>
          </w:p>
        </w:tc>
      </w:tr>
      <w:tr w14:paraId="2C26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74273D2C">
            <w:pPr>
              <w:jc w:val="center"/>
            </w:pPr>
            <w:r>
              <w:t>机械耕作费用（元/亩）</w:t>
            </w:r>
          </w:p>
        </w:tc>
        <w:tc>
          <w:tcPr>
            <w:tcW w:w="684" w:type="pct"/>
          </w:tcPr>
          <w:p w14:paraId="4BEAAF40">
            <w:pPr>
              <w:jc w:val="center"/>
            </w:pPr>
            <w:r>
              <w:t>100</w:t>
            </w:r>
          </w:p>
        </w:tc>
        <w:tc>
          <w:tcPr>
            <w:tcW w:w="683" w:type="pct"/>
          </w:tcPr>
          <w:p w14:paraId="217DE8B3">
            <w:pPr>
              <w:jc w:val="center"/>
            </w:pPr>
            <w:r>
              <w:t>90</w:t>
            </w:r>
          </w:p>
        </w:tc>
        <w:tc>
          <w:tcPr>
            <w:tcW w:w="671" w:type="pct"/>
          </w:tcPr>
          <w:p w14:paraId="293788F6">
            <w:pPr>
              <w:jc w:val="center"/>
            </w:pPr>
            <w:r>
              <w:t>130</w:t>
            </w:r>
          </w:p>
        </w:tc>
        <w:tc>
          <w:tcPr>
            <w:tcW w:w="573" w:type="pct"/>
          </w:tcPr>
          <w:p w14:paraId="281F6AE7">
            <w:pPr>
              <w:jc w:val="center"/>
            </w:pPr>
            <w:r>
              <w:t>90</w:t>
            </w:r>
          </w:p>
        </w:tc>
      </w:tr>
      <w:tr w14:paraId="3C6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255C9427">
            <w:pPr>
              <w:jc w:val="center"/>
            </w:pPr>
            <w:r>
              <w:t>机械收割费用(元/亩)</w:t>
            </w:r>
          </w:p>
        </w:tc>
        <w:tc>
          <w:tcPr>
            <w:tcW w:w="684" w:type="pct"/>
          </w:tcPr>
          <w:p w14:paraId="67153E2D">
            <w:pPr>
              <w:jc w:val="center"/>
            </w:pPr>
            <w:r>
              <w:t>100</w:t>
            </w:r>
          </w:p>
        </w:tc>
        <w:tc>
          <w:tcPr>
            <w:tcW w:w="683" w:type="pct"/>
          </w:tcPr>
          <w:p w14:paraId="031FFC42">
            <w:pPr>
              <w:jc w:val="center"/>
            </w:pPr>
            <w:r>
              <w:t>--</w:t>
            </w:r>
          </w:p>
        </w:tc>
        <w:tc>
          <w:tcPr>
            <w:tcW w:w="671" w:type="pct"/>
          </w:tcPr>
          <w:p w14:paraId="3172FEC7">
            <w:pPr>
              <w:jc w:val="center"/>
            </w:pPr>
            <w:r>
              <w:t>130</w:t>
            </w:r>
          </w:p>
        </w:tc>
        <w:tc>
          <w:tcPr>
            <w:tcW w:w="573" w:type="pct"/>
          </w:tcPr>
          <w:p w14:paraId="74DC468C">
            <w:pPr>
              <w:jc w:val="center"/>
            </w:pPr>
            <w:r>
              <w:t>--</w:t>
            </w:r>
          </w:p>
        </w:tc>
      </w:tr>
      <w:tr w14:paraId="6A96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6C9DB179">
            <w:pPr>
              <w:jc w:val="center"/>
            </w:pPr>
            <w:r>
              <w:t>机械运输费用（元/亩）</w:t>
            </w:r>
          </w:p>
        </w:tc>
        <w:tc>
          <w:tcPr>
            <w:tcW w:w="684" w:type="pct"/>
          </w:tcPr>
          <w:p w14:paraId="5FDF1113">
            <w:pPr>
              <w:jc w:val="center"/>
            </w:pPr>
            <w:r>
              <w:t>10</w:t>
            </w:r>
          </w:p>
        </w:tc>
        <w:tc>
          <w:tcPr>
            <w:tcW w:w="683" w:type="pct"/>
          </w:tcPr>
          <w:p w14:paraId="51AF59A0">
            <w:pPr>
              <w:jc w:val="center"/>
            </w:pPr>
            <w:r>
              <w:t>10</w:t>
            </w:r>
          </w:p>
        </w:tc>
        <w:tc>
          <w:tcPr>
            <w:tcW w:w="671" w:type="pct"/>
          </w:tcPr>
          <w:p w14:paraId="263EACE9">
            <w:pPr>
              <w:jc w:val="center"/>
            </w:pPr>
            <w:r>
              <w:t>30</w:t>
            </w:r>
          </w:p>
        </w:tc>
        <w:tc>
          <w:tcPr>
            <w:tcW w:w="573" w:type="pct"/>
          </w:tcPr>
          <w:p w14:paraId="48D0E495">
            <w:pPr>
              <w:jc w:val="center"/>
            </w:pPr>
            <w:r>
              <w:t>10</w:t>
            </w:r>
          </w:p>
        </w:tc>
      </w:tr>
      <w:tr w14:paraId="2A7E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7636397B">
            <w:pPr>
              <w:jc w:val="center"/>
            </w:pPr>
            <w:r>
              <w:t>抽水灌溉费用（元/亩）</w:t>
            </w:r>
          </w:p>
        </w:tc>
        <w:tc>
          <w:tcPr>
            <w:tcW w:w="684" w:type="pct"/>
          </w:tcPr>
          <w:p w14:paraId="2C59C6D4">
            <w:pPr>
              <w:jc w:val="center"/>
            </w:pPr>
            <w:r>
              <w:t>30</w:t>
            </w:r>
          </w:p>
        </w:tc>
        <w:tc>
          <w:tcPr>
            <w:tcW w:w="683" w:type="pct"/>
          </w:tcPr>
          <w:p w14:paraId="6C54C558">
            <w:pPr>
              <w:jc w:val="center"/>
            </w:pPr>
            <w:r>
              <w:t>10</w:t>
            </w:r>
          </w:p>
        </w:tc>
        <w:tc>
          <w:tcPr>
            <w:tcW w:w="671" w:type="pct"/>
          </w:tcPr>
          <w:p w14:paraId="06824A7C">
            <w:pPr>
              <w:jc w:val="center"/>
            </w:pPr>
            <w:r>
              <w:t>60</w:t>
            </w:r>
          </w:p>
        </w:tc>
        <w:tc>
          <w:tcPr>
            <w:tcW w:w="573" w:type="pct"/>
          </w:tcPr>
          <w:p w14:paraId="3DF4B164">
            <w:pPr>
              <w:jc w:val="center"/>
            </w:pPr>
            <w:r>
              <w:t>10</w:t>
            </w:r>
          </w:p>
        </w:tc>
      </w:tr>
      <w:tr w14:paraId="235B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751F704F">
            <w:pPr>
              <w:jc w:val="center"/>
            </w:pPr>
            <w:r>
              <w:t>人工费用（元/亩）</w:t>
            </w:r>
          </w:p>
        </w:tc>
        <w:tc>
          <w:tcPr>
            <w:tcW w:w="684" w:type="pct"/>
          </w:tcPr>
          <w:p w14:paraId="034AC31F">
            <w:pPr>
              <w:jc w:val="center"/>
            </w:pPr>
            <w:r>
              <w:t>80</w:t>
            </w:r>
          </w:p>
        </w:tc>
        <w:tc>
          <w:tcPr>
            <w:tcW w:w="683" w:type="pct"/>
          </w:tcPr>
          <w:p w14:paraId="05ED2E37">
            <w:pPr>
              <w:jc w:val="center"/>
            </w:pPr>
            <w:r>
              <w:t>100</w:t>
            </w:r>
          </w:p>
        </w:tc>
        <w:tc>
          <w:tcPr>
            <w:tcW w:w="671" w:type="pct"/>
          </w:tcPr>
          <w:p w14:paraId="2A082AC6">
            <w:pPr>
              <w:jc w:val="center"/>
            </w:pPr>
            <w:r>
              <w:t>100</w:t>
            </w:r>
          </w:p>
        </w:tc>
        <w:tc>
          <w:tcPr>
            <w:tcW w:w="573" w:type="pct"/>
          </w:tcPr>
          <w:p w14:paraId="044585B1">
            <w:pPr>
              <w:jc w:val="center"/>
            </w:pPr>
            <w:r>
              <w:t>100</w:t>
            </w:r>
          </w:p>
        </w:tc>
      </w:tr>
      <w:tr w14:paraId="5111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9" w:type="pct"/>
          </w:tcPr>
          <w:p w14:paraId="742127EF">
            <w:pPr>
              <w:jc w:val="center"/>
            </w:pPr>
            <w:r>
              <w:t>亩均投入（元）</w:t>
            </w:r>
          </w:p>
        </w:tc>
        <w:tc>
          <w:tcPr>
            <w:tcW w:w="684" w:type="pct"/>
          </w:tcPr>
          <w:p w14:paraId="3FEA12F4">
            <w:pPr>
              <w:jc w:val="center"/>
            </w:pPr>
            <w:r>
              <w:t>560</w:t>
            </w:r>
          </w:p>
        </w:tc>
        <w:tc>
          <w:tcPr>
            <w:tcW w:w="683" w:type="pct"/>
          </w:tcPr>
          <w:p w14:paraId="12A6BFBD">
            <w:pPr>
              <w:jc w:val="center"/>
            </w:pPr>
            <w:r>
              <w:t>350</w:t>
            </w:r>
          </w:p>
        </w:tc>
        <w:tc>
          <w:tcPr>
            <w:tcW w:w="671" w:type="pct"/>
          </w:tcPr>
          <w:p w14:paraId="31BA769A">
            <w:pPr>
              <w:jc w:val="center"/>
            </w:pPr>
            <w:r>
              <w:t>700</w:t>
            </w:r>
          </w:p>
        </w:tc>
        <w:tc>
          <w:tcPr>
            <w:tcW w:w="573" w:type="pct"/>
          </w:tcPr>
          <w:p w14:paraId="3E0D27C1">
            <w:pPr>
              <w:jc w:val="center"/>
            </w:pPr>
            <w:r>
              <w:t>350</w:t>
            </w:r>
          </w:p>
        </w:tc>
      </w:tr>
    </w:tbl>
    <w:p w14:paraId="5445F754">
      <w:pPr>
        <w:pStyle w:val="180"/>
        <w:ind w:firstLine="480"/>
      </w:pPr>
      <w:r>
        <w:rPr>
          <w:rFonts w:hint="eastAsia"/>
        </w:rPr>
        <w:t>（5）</w:t>
      </w:r>
      <w:r>
        <w:t>农地纯收益的确定</w:t>
      </w:r>
    </w:p>
    <w:p w14:paraId="45A5750E">
      <w:pPr>
        <w:snapToGrid w:val="0"/>
        <w:spacing w:line="500" w:lineRule="exact"/>
        <w:ind w:firstLine="480" w:firstLineChars="200"/>
        <w:rPr>
          <w:snapToGrid w:val="0"/>
          <w:sz w:val="24"/>
        </w:rPr>
      </w:pPr>
      <w:r>
        <w:rPr>
          <w:snapToGrid w:val="0"/>
          <w:sz w:val="24"/>
        </w:rPr>
        <w:t>在计算农地生产总收益和总成本的基础上计算出农地的纯收益</w:t>
      </w:r>
      <w:r>
        <w:rPr>
          <w:rFonts w:hint="eastAsia"/>
          <w:snapToGrid w:val="0"/>
          <w:sz w:val="24"/>
        </w:rPr>
        <w:t>，</w:t>
      </w:r>
      <w:r>
        <w:rPr>
          <w:snapToGrid w:val="0"/>
          <w:sz w:val="24"/>
        </w:rPr>
        <w:t>具体见表</w:t>
      </w:r>
      <w:r>
        <w:rPr>
          <w:rFonts w:hint="eastAsia"/>
          <w:snapToGrid w:val="0"/>
          <w:sz w:val="24"/>
        </w:rPr>
        <w:t>3</w:t>
      </w:r>
      <w:r>
        <w:rPr>
          <w:snapToGrid w:val="0"/>
          <w:sz w:val="24"/>
        </w:rPr>
        <w:t>-22。</w:t>
      </w:r>
    </w:p>
    <w:p w14:paraId="533FECB6">
      <w:pPr>
        <w:snapToGrid w:val="0"/>
        <w:spacing w:line="480" w:lineRule="auto"/>
        <w:ind w:firstLine="422" w:firstLineChars="200"/>
        <w:jc w:val="center"/>
        <w:rPr>
          <w:b/>
          <w:bCs/>
          <w:szCs w:val="21"/>
        </w:rPr>
      </w:pPr>
      <w:r>
        <w:rPr>
          <w:b/>
          <w:bCs/>
          <w:szCs w:val="21"/>
        </w:rPr>
        <w:t>表3-22鄂州市</w:t>
      </w:r>
      <w:r>
        <w:rPr>
          <w:rFonts w:hint="eastAsia"/>
          <w:b/>
          <w:bCs/>
          <w:szCs w:val="21"/>
        </w:rPr>
        <w:t>国有农用地主要</w:t>
      </w:r>
      <w:r>
        <w:rPr>
          <w:b/>
          <w:bCs/>
          <w:szCs w:val="21"/>
        </w:rPr>
        <w:t>作物净收益</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2"/>
        <w:gridCol w:w="1635"/>
        <w:gridCol w:w="2724"/>
        <w:gridCol w:w="2531"/>
      </w:tblGrid>
      <w:tr w14:paraId="0E24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7" w:type="pct"/>
            <w:gridSpan w:val="2"/>
            <w:vAlign w:val="center"/>
          </w:tcPr>
          <w:p w14:paraId="4A23463F">
            <w:pPr>
              <w:jc w:val="center"/>
            </w:pPr>
            <w:bookmarkStart w:id="144" w:name="_Toc532729878"/>
            <w:r>
              <w:t>级别</w:t>
            </w:r>
          </w:p>
        </w:tc>
        <w:tc>
          <w:tcPr>
            <w:tcW w:w="1598" w:type="pct"/>
            <w:vAlign w:val="center"/>
          </w:tcPr>
          <w:p w14:paraId="4A6FA725">
            <w:pPr>
              <w:jc w:val="center"/>
            </w:pPr>
            <w:r>
              <w:rPr>
                <w:rFonts w:hint="eastAsia" w:ascii="宋体" w:hAnsi="宋体" w:cs="宋体"/>
              </w:rPr>
              <w:t>Ⅰ</w:t>
            </w:r>
            <w:r>
              <w:t>级</w:t>
            </w:r>
          </w:p>
        </w:tc>
        <w:tc>
          <w:tcPr>
            <w:tcW w:w="1485" w:type="pct"/>
            <w:vAlign w:val="center"/>
          </w:tcPr>
          <w:p w14:paraId="2A9B554B">
            <w:pPr>
              <w:jc w:val="center"/>
            </w:pPr>
            <w:r>
              <w:rPr>
                <w:rFonts w:hint="eastAsia" w:ascii="宋体" w:hAnsi="宋体" w:cs="宋体"/>
              </w:rPr>
              <w:t>Ⅱ</w:t>
            </w:r>
            <w:r>
              <w:t>级</w:t>
            </w:r>
          </w:p>
        </w:tc>
      </w:tr>
      <w:tr w14:paraId="5310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vMerge w:val="restart"/>
            <w:vAlign w:val="center"/>
          </w:tcPr>
          <w:p w14:paraId="4DD0A553">
            <w:pPr>
              <w:jc w:val="center"/>
            </w:pPr>
            <w:r>
              <w:t>亩均年总收益（元）</w:t>
            </w:r>
          </w:p>
        </w:tc>
        <w:tc>
          <w:tcPr>
            <w:tcW w:w="959" w:type="pct"/>
            <w:vAlign w:val="center"/>
          </w:tcPr>
          <w:p w14:paraId="5E67E758">
            <w:pPr>
              <w:jc w:val="center"/>
            </w:pPr>
            <w:r>
              <w:t>最大值</w:t>
            </w:r>
          </w:p>
        </w:tc>
        <w:tc>
          <w:tcPr>
            <w:tcW w:w="1598" w:type="pct"/>
            <w:vAlign w:val="center"/>
          </w:tcPr>
          <w:p w14:paraId="75DB67B8">
            <w:pPr>
              <w:jc w:val="center"/>
            </w:pPr>
            <w:r>
              <w:t>2432</w:t>
            </w:r>
          </w:p>
        </w:tc>
        <w:tc>
          <w:tcPr>
            <w:tcW w:w="1485" w:type="pct"/>
            <w:vAlign w:val="center"/>
          </w:tcPr>
          <w:p w14:paraId="3C28796F">
            <w:pPr>
              <w:jc w:val="center"/>
            </w:pPr>
            <w:r>
              <w:t>2010</w:t>
            </w:r>
          </w:p>
        </w:tc>
      </w:tr>
      <w:tr w14:paraId="528C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vMerge w:val="continue"/>
            <w:vAlign w:val="center"/>
          </w:tcPr>
          <w:p w14:paraId="60D66FF5">
            <w:pPr>
              <w:jc w:val="center"/>
            </w:pPr>
          </w:p>
        </w:tc>
        <w:tc>
          <w:tcPr>
            <w:tcW w:w="959" w:type="pct"/>
            <w:vAlign w:val="center"/>
          </w:tcPr>
          <w:p w14:paraId="72E6A0FC">
            <w:pPr>
              <w:jc w:val="center"/>
            </w:pPr>
            <w:r>
              <w:t>最小值</w:t>
            </w:r>
          </w:p>
        </w:tc>
        <w:tc>
          <w:tcPr>
            <w:tcW w:w="1598" w:type="pct"/>
            <w:vAlign w:val="center"/>
          </w:tcPr>
          <w:p w14:paraId="2693C2E1">
            <w:pPr>
              <w:jc w:val="center"/>
            </w:pPr>
            <w:r>
              <w:t>1807</w:t>
            </w:r>
          </w:p>
        </w:tc>
        <w:tc>
          <w:tcPr>
            <w:tcW w:w="1485" w:type="pct"/>
            <w:vAlign w:val="center"/>
          </w:tcPr>
          <w:p w14:paraId="0D9AC186">
            <w:pPr>
              <w:jc w:val="center"/>
            </w:pPr>
            <w:r>
              <w:t>1308</w:t>
            </w:r>
          </w:p>
        </w:tc>
      </w:tr>
      <w:tr w14:paraId="7A20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vMerge w:val="continue"/>
            <w:vAlign w:val="center"/>
          </w:tcPr>
          <w:p w14:paraId="1F8314F4">
            <w:pPr>
              <w:jc w:val="center"/>
            </w:pPr>
          </w:p>
        </w:tc>
        <w:tc>
          <w:tcPr>
            <w:tcW w:w="959" w:type="pct"/>
            <w:vAlign w:val="center"/>
          </w:tcPr>
          <w:p w14:paraId="1383DCA4">
            <w:pPr>
              <w:jc w:val="center"/>
            </w:pPr>
            <w:r>
              <w:t>均值</w:t>
            </w:r>
          </w:p>
        </w:tc>
        <w:tc>
          <w:tcPr>
            <w:tcW w:w="1598" w:type="pct"/>
            <w:vAlign w:val="center"/>
          </w:tcPr>
          <w:p w14:paraId="5511FD15">
            <w:pPr>
              <w:jc w:val="center"/>
            </w:pPr>
            <w:r>
              <w:t>2107</w:t>
            </w:r>
          </w:p>
        </w:tc>
        <w:tc>
          <w:tcPr>
            <w:tcW w:w="1485" w:type="pct"/>
            <w:vAlign w:val="center"/>
          </w:tcPr>
          <w:p w14:paraId="7036EBE4">
            <w:pPr>
              <w:jc w:val="center"/>
            </w:pPr>
            <w:r>
              <w:t>1683</w:t>
            </w:r>
          </w:p>
        </w:tc>
      </w:tr>
    </w:tbl>
    <w:p w14:paraId="55E6AEC9">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145" w:name="_Toc47384618"/>
      <w:r>
        <w:rPr>
          <w:rFonts w:hint="eastAsia" w:ascii="宋体" w:hAnsi="宋体"/>
          <w:bCs/>
          <w:kern w:val="2"/>
          <w:szCs w:val="28"/>
        </w:rPr>
        <w:t>3</w:t>
      </w:r>
      <w:r>
        <w:rPr>
          <w:rFonts w:ascii="宋体" w:hAnsi="宋体"/>
          <w:bCs/>
          <w:kern w:val="2"/>
          <w:szCs w:val="28"/>
        </w:rPr>
        <w:t>.4土地定级单元分值计算</w:t>
      </w:r>
      <w:bookmarkEnd w:id="144"/>
      <w:bookmarkEnd w:id="145"/>
    </w:p>
    <w:p w14:paraId="197D487B">
      <w:pPr>
        <w:pStyle w:val="4"/>
        <w:widowControl w:val="0"/>
        <w:tabs>
          <w:tab w:val="left" w:pos="720"/>
        </w:tabs>
        <w:spacing w:before="120" w:after="120" w:line="500" w:lineRule="exact"/>
        <w:ind w:left="826" w:hanging="826"/>
        <w:jc w:val="both"/>
        <w:rPr>
          <w:rFonts w:ascii="宋体" w:hAnsi="宋体"/>
          <w:sz w:val="24"/>
          <w:szCs w:val="24"/>
        </w:rPr>
      </w:pPr>
      <w:bookmarkStart w:id="146" w:name="_Toc534833351"/>
      <w:bookmarkStart w:id="147" w:name="_Toc532729879"/>
      <w:bookmarkStart w:id="148" w:name="_Toc535399928"/>
      <w:bookmarkStart w:id="149" w:name="_Toc47384619"/>
      <w:r>
        <w:rPr>
          <w:rFonts w:hint="eastAsia" w:ascii="宋体" w:hAnsi="宋体"/>
          <w:sz w:val="24"/>
          <w:szCs w:val="24"/>
        </w:rPr>
        <w:t>3</w:t>
      </w:r>
      <w:r>
        <w:rPr>
          <w:rFonts w:ascii="宋体" w:hAnsi="宋体"/>
          <w:sz w:val="24"/>
          <w:szCs w:val="24"/>
        </w:rPr>
        <w:t>.4.1 定级单元的划分</w:t>
      </w:r>
      <w:bookmarkEnd w:id="146"/>
      <w:bookmarkEnd w:id="147"/>
      <w:bookmarkEnd w:id="148"/>
      <w:bookmarkEnd w:id="149"/>
    </w:p>
    <w:p w14:paraId="16B86B5C">
      <w:pPr>
        <w:pStyle w:val="12"/>
        <w:snapToGrid w:val="0"/>
        <w:spacing w:line="500" w:lineRule="exact"/>
        <w:ind w:firstLine="480" w:firstLineChars="200"/>
        <w:rPr>
          <w:rFonts w:ascii="Times New Roman" w:hAnsi="Times New Roman" w:cs="Times New Roman"/>
          <w:sz w:val="24"/>
        </w:rPr>
      </w:pPr>
      <w:r>
        <w:rPr>
          <w:rFonts w:ascii="Times New Roman" w:hAnsi="Times New Roman" w:cs="Times New Roman"/>
          <w:sz w:val="24"/>
        </w:rPr>
        <w:t>定级单元是评定土地级别的基本空间单位，单元内部土地特性和区位条件基本一致，单元的划分应保证单元内部土地质量均匀、有利于提高单元分值计算的准确性、科学化为基本原则。定级单元的划分方法主要有主导因素判定法、叠置法、网格法。本次鄂州市国有农用地土地定级采用网格法，利用“城镇土地级别与基准地价动态更新系统”直接生成50*50米的网格，作为鄂州市国有农用地定级评价单元。</w:t>
      </w:r>
    </w:p>
    <w:p w14:paraId="382620D7">
      <w:pPr>
        <w:spacing w:line="360" w:lineRule="auto"/>
        <w:ind w:firstLine="420"/>
        <w:jc w:val="center"/>
      </w:pPr>
      <w:r>
        <w:drawing>
          <wp:inline distT="0" distB="0" distL="0" distR="0">
            <wp:extent cx="3749675" cy="5303520"/>
            <wp:effectExtent l="0" t="0" r="3175" b="0"/>
            <wp:docPr id="16" name="图片 16" descr="E:\基准地价2\国有农用地\出图\国有农用地网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基准地价2\国有农用地\出图\国有农用地网格.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3750165" cy="5303836"/>
                    </a:xfrm>
                    <a:prstGeom prst="rect">
                      <a:avLst/>
                    </a:prstGeom>
                    <a:noFill/>
                    <a:ln>
                      <a:noFill/>
                    </a:ln>
                  </pic:spPr>
                </pic:pic>
              </a:graphicData>
            </a:graphic>
          </wp:inline>
        </w:drawing>
      </w:r>
    </w:p>
    <w:p w14:paraId="705CEE24">
      <w:pPr>
        <w:spacing w:before="156" w:beforeLines="50"/>
        <w:ind w:firstLine="422"/>
        <w:jc w:val="center"/>
        <w:rPr>
          <w:b/>
          <w:szCs w:val="21"/>
        </w:rPr>
      </w:pPr>
      <w:r>
        <w:rPr>
          <w:b/>
          <w:szCs w:val="21"/>
        </w:rPr>
        <w:t>图3-1 国有农用地定级网格单元划分示意图</w:t>
      </w:r>
    </w:p>
    <w:p w14:paraId="491E7AF5">
      <w:pPr>
        <w:pStyle w:val="4"/>
        <w:widowControl w:val="0"/>
        <w:tabs>
          <w:tab w:val="left" w:pos="720"/>
        </w:tabs>
        <w:spacing w:before="120" w:after="120" w:line="500" w:lineRule="exact"/>
        <w:ind w:left="826" w:hanging="826"/>
        <w:jc w:val="both"/>
        <w:rPr>
          <w:rFonts w:ascii="宋体" w:hAnsi="宋体"/>
          <w:sz w:val="24"/>
          <w:szCs w:val="24"/>
        </w:rPr>
      </w:pPr>
      <w:bookmarkStart w:id="150" w:name="_Toc47384620"/>
      <w:bookmarkStart w:id="151" w:name="_Toc535399930"/>
      <w:bookmarkStart w:id="152" w:name="_Toc532729881"/>
      <w:bookmarkStart w:id="153" w:name="_Toc534833353"/>
      <w:r>
        <w:rPr>
          <w:rFonts w:hint="eastAsia" w:ascii="宋体" w:hAnsi="宋体"/>
          <w:sz w:val="24"/>
          <w:szCs w:val="24"/>
        </w:rPr>
        <w:t>3</w:t>
      </w:r>
      <w:r>
        <w:rPr>
          <w:rFonts w:ascii="宋体" w:hAnsi="宋体"/>
          <w:sz w:val="24"/>
          <w:szCs w:val="24"/>
        </w:rPr>
        <w:t>.4.2 评价单元因子作用分计算</w:t>
      </w:r>
      <w:bookmarkEnd w:id="150"/>
      <w:bookmarkEnd w:id="151"/>
      <w:bookmarkEnd w:id="152"/>
      <w:bookmarkEnd w:id="153"/>
    </w:p>
    <w:p w14:paraId="659F1CF5">
      <w:pPr>
        <w:pStyle w:val="12"/>
        <w:snapToGrid w:val="0"/>
        <w:spacing w:line="500" w:lineRule="exact"/>
        <w:ind w:firstLine="480" w:firstLineChars="200"/>
        <w:rPr>
          <w:rFonts w:ascii="Times New Roman" w:hAnsi="Times New Roman" w:cs="Times New Roman"/>
          <w:sz w:val="24"/>
        </w:rPr>
      </w:pPr>
      <w:r>
        <w:rPr>
          <w:rFonts w:ascii="Times New Roman" w:hAnsi="Times New Roman" w:cs="Times New Roman"/>
          <w:sz w:val="24"/>
        </w:rPr>
        <w:t>计算定级因子对评价单元的作用分值是整个土地定级的关键，它直接影响土地定级的结果。同类定级因素对评价单元的影响随定级因素与评价单元的距离增加而衰减；不同类型因子对同一用地类型的影响方式不同，同一类型因子对不同用地类型产生的影响方式也不一样。测算出鄂州市国有农用地定级各定级评价因子作用分和作用半径后，</w:t>
      </w:r>
      <w:r>
        <w:rPr>
          <w:rFonts w:hint="eastAsia"/>
          <w:sz w:val="24"/>
        </w:rPr>
        <w:t>根据前文</w:t>
      </w:r>
      <w:r>
        <w:rPr>
          <w:rFonts w:ascii="Times New Roman" w:hAnsi="Times New Roman"/>
          <w:sz w:val="24"/>
          <w:szCs w:val="24"/>
        </w:rPr>
        <w:t>国有农用地定级因子量化方法</w:t>
      </w:r>
      <w:r>
        <w:rPr>
          <w:sz w:val="24"/>
        </w:rPr>
        <w:t>，</w:t>
      </w:r>
      <w:r>
        <w:rPr>
          <w:rFonts w:hint="eastAsia"/>
          <w:sz w:val="24"/>
        </w:rPr>
        <w:t>计算评价单元因子作用分值。</w:t>
      </w:r>
      <w:r>
        <w:rPr>
          <w:rFonts w:ascii="Times New Roman" w:hAnsi="Times New Roman" w:cs="Times New Roman"/>
          <w:sz w:val="24"/>
        </w:rPr>
        <w:t>采用“土地定级及基准地价动态更新系统”获取各评价单元的作用分值、获取</w:t>
      </w:r>
      <w:r>
        <w:rPr>
          <w:rFonts w:hint="eastAsia" w:ascii="Times New Roman" w:hAnsi="Times New Roman" w:cs="Times New Roman"/>
          <w:sz w:val="24"/>
        </w:rPr>
        <w:t>等值</w:t>
      </w:r>
      <w:r>
        <w:rPr>
          <w:rFonts w:ascii="Times New Roman" w:hAnsi="Times New Roman" w:cs="Times New Roman"/>
          <w:sz w:val="24"/>
        </w:rPr>
        <w:t>线图。基本过程简单介绍如下：</w:t>
      </w:r>
    </w:p>
    <w:p w14:paraId="40C93B8D">
      <w:pPr>
        <w:pStyle w:val="12"/>
        <w:snapToGrid w:val="0"/>
        <w:spacing w:line="500" w:lineRule="exact"/>
        <w:ind w:firstLine="480" w:firstLineChars="200"/>
        <w:rPr>
          <w:rFonts w:ascii="Times New Roman" w:hAnsi="Times New Roman" w:cs="Times New Roman"/>
          <w:sz w:val="24"/>
        </w:rPr>
      </w:pPr>
      <w:r>
        <w:rPr>
          <w:rFonts w:ascii="Times New Roman" w:hAnsi="Times New Roman" w:cs="Times New Roman"/>
          <w:sz w:val="24"/>
        </w:rPr>
        <w:t>（1）生成各指标覆盖全部评价范围的正方形网格（50*50米）；</w:t>
      </w:r>
    </w:p>
    <w:p w14:paraId="781F7790">
      <w:pPr>
        <w:pStyle w:val="12"/>
        <w:snapToGrid w:val="0"/>
        <w:spacing w:line="500" w:lineRule="exact"/>
        <w:ind w:firstLine="480" w:firstLineChars="200"/>
        <w:rPr>
          <w:rFonts w:ascii="Times New Roman" w:hAnsi="Times New Roman" w:cs="Times New Roman"/>
          <w:sz w:val="24"/>
        </w:rPr>
      </w:pPr>
      <w:r>
        <w:rPr>
          <w:rFonts w:ascii="Times New Roman" w:hAnsi="Times New Roman" w:cs="Times New Roman"/>
          <w:sz w:val="24"/>
        </w:rPr>
        <w:t>（2）借助专业软件得到各网格中心点位置；</w:t>
      </w:r>
    </w:p>
    <w:p w14:paraId="555A5A7F">
      <w:pPr>
        <w:pStyle w:val="12"/>
        <w:snapToGrid w:val="0"/>
        <w:spacing w:line="500" w:lineRule="exact"/>
        <w:ind w:firstLine="480" w:firstLineChars="200"/>
        <w:rPr>
          <w:rFonts w:ascii="Times New Roman" w:hAnsi="Times New Roman" w:cs="Times New Roman"/>
          <w:sz w:val="24"/>
        </w:rPr>
      </w:pPr>
      <w:r>
        <w:rPr>
          <w:rFonts w:ascii="Times New Roman" w:hAnsi="Times New Roman" w:cs="Times New Roman"/>
          <w:sz w:val="24"/>
        </w:rPr>
        <w:t>（3）借助专业软件计算各网格中心点到定级因素所在位置的实际距离；</w:t>
      </w:r>
    </w:p>
    <w:p w14:paraId="294F2DB8">
      <w:pPr>
        <w:pStyle w:val="12"/>
        <w:snapToGrid w:val="0"/>
        <w:spacing w:line="500" w:lineRule="exact"/>
        <w:ind w:firstLine="480" w:firstLineChars="200"/>
        <w:rPr>
          <w:rFonts w:ascii="Times New Roman" w:hAnsi="Times New Roman" w:cs="Times New Roman"/>
          <w:sz w:val="24"/>
        </w:rPr>
      </w:pPr>
      <w:r>
        <w:rPr>
          <w:rFonts w:ascii="Times New Roman" w:hAnsi="Times New Roman" w:cs="Times New Roman"/>
          <w:sz w:val="24"/>
        </w:rPr>
        <w:t>（4）按照确定的衰减模型，计算各网格点作用分值；</w:t>
      </w:r>
    </w:p>
    <w:p w14:paraId="74E137D8">
      <w:pPr>
        <w:pStyle w:val="12"/>
        <w:snapToGrid w:val="0"/>
        <w:spacing w:line="500" w:lineRule="exact"/>
        <w:ind w:firstLine="480" w:firstLineChars="200"/>
        <w:rPr>
          <w:rFonts w:ascii="Times New Roman" w:hAnsi="Times New Roman" w:cs="Times New Roman"/>
          <w:sz w:val="24"/>
        </w:rPr>
      </w:pPr>
      <w:r>
        <w:rPr>
          <w:rFonts w:ascii="Times New Roman" w:hAnsi="Times New Roman" w:cs="Times New Roman"/>
          <w:sz w:val="24"/>
        </w:rPr>
        <w:t>（5）获取各定级因素的等值线图。</w:t>
      </w:r>
    </w:p>
    <w:p w14:paraId="342A0A71">
      <w:pPr>
        <w:ind w:firstLine="422"/>
        <w:jc w:val="center"/>
        <w:rPr>
          <w:b/>
          <w:szCs w:val="21"/>
        </w:rPr>
      </w:pPr>
      <w:r>
        <w:rPr>
          <w:b/>
          <w:szCs w:val="21"/>
        </w:rPr>
        <w:t>表3-23定级因素计算模型一览表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1702"/>
        <w:gridCol w:w="1133"/>
        <w:gridCol w:w="1986"/>
        <w:gridCol w:w="2344"/>
      </w:tblGrid>
      <w:tr w14:paraId="235D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1" w:type="dxa"/>
            <w:vAlign w:val="center"/>
          </w:tcPr>
          <w:p w14:paraId="6A446B14">
            <w:pPr>
              <w:jc w:val="center"/>
              <w:rPr>
                <w:b/>
                <w:szCs w:val="21"/>
              </w:rPr>
            </w:pPr>
            <w:r>
              <w:rPr>
                <w:b/>
                <w:szCs w:val="21"/>
              </w:rPr>
              <w:t>因子类型</w:t>
            </w:r>
          </w:p>
        </w:tc>
        <w:tc>
          <w:tcPr>
            <w:tcW w:w="1702" w:type="dxa"/>
            <w:vAlign w:val="center"/>
          </w:tcPr>
          <w:p w14:paraId="1F7EAA4E">
            <w:pPr>
              <w:jc w:val="center"/>
              <w:rPr>
                <w:b/>
                <w:szCs w:val="21"/>
              </w:rPr>
            </w:pPr>
            <w:r>
              <w:rPr>
                <w:b/>
                <w:szCs w:val="21"/>
              </w:rPr>
              <w:t>因子名称</w:t>
            </w:r>
          </w:p>
        </w:tc>
        <w:tc>
          <w:tcPr>
            <w:tcW w:w="1133" w:type="dxa"/>
            <w:vAlign w:val="center"/>
          </w:tcPr>
          <w:p w14:paraId="36DF79D9">
            <w:pPr>
              <w:jc w:val="center"/>
              <w:rPr>
                <w:b/>
                <w:szCs w:val="21"/>
              </w:rPr>
            </w:pPr>
            <w:r>
              <w:rPr>
                <w:b/>
                <w:szCs w:val="21"/>
              </w:rPr>
              <w:t>计算模型</w:t>
            </w:r>
          </w:p>
        </w:tc>
        <w:tc>
          <w:tcPr>
            <w:tcW w:w="1986" w:type="dxa"/>
            <w:vAlign w:val="center"/>
          </w:tcPr>
          <w:p w14:paraId="6901EB46">
            <w:pPr>
              <w:jc w:val="center"/>
              <w:rPr>
                <w:b/>
                <w:szCs w:val="21"/>
              </w:rPr>
            </w:pPr>
            <w:r>
              <w:rPr>
                <w:b/>
                <w:szCs w:val="21"/>
              </w:rPr>
              <w:t>影响方式</w:t>
            </w:r>
          </w:p>
        </w:tc>
        <w:tc>
          <w:tcPr>
            <w:tcW w:w="2344" w:type="dxa"/>
            <w:vAlign w:val="center"/>
          </w:tcPr>
          <w:p w14:paraId="1B80FC22">
            <w:pPr>
              <w:jc w:val="center"/>
              <w:rPr>
                <w:b/>
                <w:szCs w:val="21"/>
              </w:rPr>
            </w:pPr>
            <w:r>
              <w:rPr>
                <w:b/>
                <w:szCs w:val="21"/>
              </w:rPr>
              <w:t>作用分取值说明</w:t>
            </w:r>
          </w:p>
        </w:tc>
      </w:tr>
      <w:tr w14:paraId="44A1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1" w:type="dxa"/>
            <w:vAlign w:val="center"/>
          </w:tcPr>
          <w:p w14:paraId="198C3836">
            <w:pPr>
              <w:rPr>
                <w:szCs w:val="21"/>
              </w:rPr>
            </w:pPr>
            <w:r>
              <w:rPr>
                <w:szCs w:val="21"/>
              </w:rPr>
              <w:t>点状因素</w:t>
            </w:r>
          </w:p>
        </w:tc>
        <w:tc>
          <w:tcPr>
            <w:tcW w:w="1702" w:type="dxa"/>
            <w:vAlign w:val="center"/>
          </w:tcPr>
          <w:p w14:paraId="767DDF67">
            <w:pPr>
              <w:rPr>
                <w:szCs w:val="21"/>
              </w:rPr>
            </w:pPr>
            <w:r>
              <w:rPr>
                <w:szCs w:val="21"/>
              </w:rPr>
              <w:t>农贸市场影响度</w:t>
            </w:r>
          </w:p>
        </w:tc>
        <w:tc>
          <w:tcPr>
            <w:tcW w:w="1133" w:type="dxa"/>
            <w:vAlign w:val="center"/>
          </w:tcPr>
          <w:p w14:paraId="2F4C6706">
            <w:pPr>
              <w:rPr>
                <w:szCs w:val="21"/>
              </w:rPr>
            </w:pPr>
            <w:r>
              <w:rPr>
                <w:szCs w:val="21"/>
              </w:rPr>
              <w:t>线性模型</w:t>
            </w:r>
          </w:p>
        </w:tc>
        <w:tc>
          <w:tcPr>
            <w:tcW w:w="1986" w:type="dxa"/>
            <w:vAlign w:val="center"/>
          </w:tcPr>
          <w:p w14:paraId="01F3C36C">
            <w:pPr>
              <w:rPr>
                <w:szCs w:val="21"/>
              </w:rPr>
            </w:pPr>
            <w:r>
              <w:rPr>
                <w:szCs w:val="21"/>
              </w:rPr>
              <w:t>以中心为基础在作用半径内向外衰减</w:t>
            </w:r>
          </w:p>
        </w:tc>
        <w:tc>
          <w:tcPr>
            <w:tcW w:w="2344" w:type="dxa"/>
            <w:vAlign w:val="center"/>
          </w:tcPr>
          <w:p w14:paraId="05EBF091">
            <w:pPr>
              <w:rPr>
                <w:szCs w:val="21"/>
              </w:rPr>
            </w:pPr>
            <w:r>
              <w:rPr>
                <w:szCs w:val="21"/>
              </w:rPr>
              <w:t>取最高值</w:t>
            </w:r>
          </w:p>
        </w:tc>
      </w:tr>
      <w:tr w14:paraId="54A5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1" w:type="dxa"/>
            <w:vAlign w:val="center"/>
          </w:tcPr>
          <w:p w14:paraId="2ABD7906">
            <w:pPr>
              <w:rPr>
                <w:szCs w:val="21"/>
              </w:rPr>
            </w:pPr>
            <w:r>
              <w:rPr>
                <w:szCs w:val="21"/>
              </w:rPr>
              <w:t>线状因素</w:t>
            </w:r>
          </w:p>
        </w:tc>
        <w:tc>
          <w:tcPr>
            <w:tcW w:w="1702" w:type="dxa"/>
            <w:vAlign w:val="center"/>
          </w:tcPr>
          <w:p w14:paraId="697584A1">
            <w:pPr>
              <w:rPr>
                <w:szCs w:val="21"/>
              </w:rPr>
            </w:pPr>
            <w:r>
              <w:rPr>
                <w:szCs w:val="21"/>
              </w:rPr>
              <w:t>道路通达度</w:t>
            </w:r>
          </w:p>
        </w:tc>
        <w:tc>
          <w:tcPr>
            <w:tcW w:w="1133" w:type="dxa"/>
            <w:vAlign w:val="center"/>
          </w:tcPr>
          <w:p w14:paraId="54E1F9BB">
            <w:pPr>
              <w:rPr>
                <w:szCs w:val="21"/>
              </w:rPr>
            </w:pPr>
            <w:r>
              <w:rPr>
                <w:szCs w:val="21"/>
              </w:rPr>
              <w:t>指数模型</w:t>
            </w:r>
          </w:p>
        </w:tc>
        <w:tc>
          <w:tcPr>
            <w:tcW w:w="1986" w:type="dxa"/>
            <w:vAlign w:val="center"/>
          </w:tcPr>
          <w:p w14:paraId="06FE3340">
            <w:pPr>
              <w:rPr>
                <w:szCs w:val="21"/>
              </w:rPr>
            </w:pPr>
            <w:r>
              <w:rPr>
                <w:szCs w:val="21"/>
              </w:rPr>
              <w:t>沿线状目标在作用半径内向外衰减</w:t>
            </w:r>
          </w:p>
        </w:tc>
        <w:tc>
          <w:tcPr>
            <w:tcW w:w="2344" w:type="dxa"/>
            <w:vAlign w:val="center"/>
          </w:tcPr>
          <w:p w14:paraId="3B1B8B80">
            <w:pPr>
              <w:rPr>
                <w:szCs w:val="21"/>
              </w:rPr>
            </w:pPr>
            <w:r>
              <w:rPr>
                <w:szCs w:val="21"/>
              </w:rPr>
              <w:t>取最高值</w:t>
            </w:r>
          </w:p>
        </w:tc>
      </w:tr>
      <w:tr w14:paraId="6DED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1" w:type="dxa"/>
            <w:vMerge w:val="restart"/>
            <w:vAlign w:val="center"/>
          </w:tcPr>
          <w:p w14:paraId="7F14BCCD">
            <w:pPr>
              <w:rPr>
                <w:szCs w:val="21"/>
              </w:rPr>
            </w:pPr>
            <w:r>
              <w:rPr>
                <w:szCs w:val="21"/>
              </w:rPr>
              <w:t>面状因素</w:t>
            </w:r>
          </w:p>
        </w:tc>
        <w:tc>
          <w:tcPr>
            <w:tcW w:w="1702" w:type="dxa"/>
            <w:vAlign w:val="center"/>
          </w:tcPr>
          <w:p w14:paraId="05B02A27">
            <w:pPr>
              <w:rPr>
                <w:szCs w:val="21"/>
              </w:rPr>
            </w:pPr>
            <w:r>
              <w:rPr>
                <w:szCs w:val="21"/>
              </w:rPr>
              <w:t>地形坡度</w:t>
            </w:r>
          </w:p>
        </w:tc>
        <w:tc>
          <w:tcPr>
            <w:tcW w:w="1133" w:type="dxa"/>
            <w:vMerge w:val="restart"/>
            <w:vAlign w:val="center"/>
          </w:tcPr>
          <w:p w14:paraId="3CF19014">
            <w:pPr>
              <w:rPr>
                <w:szCs w:val="21"/>
              </w:rPr>
            </w:pPr>
            <w:r>
              <w:rPr>
                <w:szCs w:val="21"/>
              </w:rPr>
              <w:t>面状覆盖</w:t>
            </w:r>
          </w:p>
        </w:tc>
        <w:tc>
          <w:tcPr>
            <w:tcW w:w="1986" w:type="dxa"/>
            <w:vMerge w:val="restart"/>
            <w:vAlign w:val="center"/>
          </w:tcPr>
          <w:p w14:paraId="2EFF4C37">
            <w:pPr>
              <w:rPr>
                <w:szCs w:val="21"/>
              </w:rPr>
            </w:pPr>
            <w:r>
              <w:rPr>
                <w:szCs w:val="21"/>
              </w:rPr>
              <w:t>在面状因子个区片范围内均匀分布</w:t>
            </w:r>
          </w:p>
        </w:tc>
        <w:tc>
          <w:tcPr>
            <w:tcW w:w="2344" w:type="dxa"/>
            <w:vMerge w:val="restart"/>
            <w:vAlign w:val="center"/>
          </w:tcPr>
          <w:p w14:paraId="61405832">
            <w:pPr>
              <w:rPr>
                <w:szCs w:val="21"/>
              </w:rPr>
            </w:pPr>
            <w:r>
              <w:rPr>
                <w:szCs w:val="21"/>
              </w:rPr>
              <w:t>在面状因子各区片范围内取值</w:t>
            </w:r>
          </w:p>
        </w:tc>
      </w:tr>
      <w:tr w14:paraId="15F1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1A8F7D8C">
            <w:pPr>
              <w:keepNext/>
              <w:keepLines/>
              <w:spacing w:before="260" w:after="260" w:line="416" w:lineRule="auto"/>
              <w:outlineLvl w:val="2"/>
              <w:rPr>
                <w:szCs w:val="21"/>
              </w:rPr>
            </w:pPr>
          </w:p>
        </w:tc>
        <w:tc>
          <w:tcPr>
            <w:tcW w:w="1702" w:type="dxa"/>
            <w:vAlign w:val="center"/>
          </w:tcPr>
          <w:p w14:paraId="32C072DE">
            <w:pPr>
              <w:rPr>
                <w:szCs w:val="21"/>
              </w:rPr>
            </w:pPr>
            <w:r>
              <w:rPr>
                <w:szCs w:val="21"/>
              </w:rPr>
              <w:t>土壤有机质含量</w:t>
            </w:r>
          </w:p>
        </w:tc>
        <w:tc>
          <w:tcPr>
            <w:tcW w:w="1133" w:type="dxa"/>
            <w:vMerge w:val="continue"/>
            <w:vAlign w:val="center"/>
          </w:tcPr>
          <w:p w14:paraId="63D3DA14">
            <w:pPr>
              <w:keepNext/>
              <w:keepLines/>
              <w:spacing w:before="260" w:after="260" w:line="416" w:lineRule="auto"/>
              <w:outlineLvl w:val="2"/>
              <w:rPr>
                <w:szCs w:val="21"/>
              </w:rPr>
            </w:pPr>
          </w:p>
        </w:tc>
        <w:tc>
          <w:tcPr>
            <w:tcW w:w="1986" w:type="dxa"/>
            <w:vMerge w:val="continue"/>
            <w:vAlign w:val="center"/>
          </w:tcPr>
          <w:p w14:paraId="2664DAC2">
            <w:pPr>
              <w:keepNext/>
              <w:keepLines/>
              <w:spacing w:before="260" w:after="260" w:line="416" w:lineRule="auto"/>
              <w:outlineLvl w:val="2"/>
              <w:rPr>
                <w:szCs w:val="21"/>
              </w:rPr>
            </w:pPr>
          </w:p>
        </w:tc>
        <w:tc>
          <w:tcPr>
            <w:tcW w:w="2344" w:type="dxa"/>
            <w:vMerge w:val="continue"/>
            <w:vAlign w:val="center"/>
          </w:tcPr>
          <w:p w14:paraId="171DF489">
            <w:pPr>
              <w:keepNext/>
              <w:keepLines/>
              <w:spacing w:before="260" w:after="260" w:line="416" w:lineRule="auto"/>
              <w:outlineLvl w:val="2"/>
              <w:rPr>
                <w:szCs w:val="21"/>
              </w:rPr>
            </w:pPr>
          </w:p>
        </w:tc>
      </w:tr>
      <w:tr w14:paraId="767C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76211033">
            <w:pPr>
              <w:keepNext/>
              <w:keepLines/>
              <w:spacing w:before="260" w:after="260" w:line="416" w:lineRule="auto"/>
              <w:outlineLvl w:val="2"/>
              <w:rPr>
                <w:szCs w:val="21"/>
              </w:rPr>
            </w:pPr>
          </w:p>
        </w:tc>
        <w:tc>
          <w:tcPr>
            <w:tcW w:w="1702" w:type="dxa"/>
            <w:vAlign w:val="center"/>
          </w:tcPr>
          <w:p w14:paraId="43B93B99">
            <w:pPr>
              <w:rPr>
                <w:szCs w:val="21"/>
              </w:rPr>
            </w:pPr>
            <w:r>
              <w:rPr>
                <w:szCs w:val="21"/>
              </w:rPr>
              <w:t>土壤剖面构型</w:t>
            </w:r>
          </w:p>
        </w:tc>
        <w:tc>
          <w:tcPr>
            <w:tcW w:w="1133" w:type="dxa"/>
            <w:vMerge w:val="continue"/>
            <w:vAlign w:val="center"/>
          </w:tcPr>
          <w:p w14:paraId="17ADE9B9">
            <w:pPr>
              <w:keepNext/>
              <w:keepLines/>
              <w:spacing w:before="260" w:after="260" w:line="416" w:lineRule="auto"/>
              <w:outlineLvl w:val="2"/>
              <w:rPr>
                <w:szCs w:val="21"/>
              </w:rPr>
            </w:pPr>
          </w:p>
        </w:tc>
        <w:tc>
          <w:tcPr>
            <w:tcW w:w="1986" w:type="dxa"/>
            <w:vMerge w:val="continue"/>
            <w:vAlign w:val="center"/>
          </w:tcPr>
          <w:p w14:paraId="527866C8">
            <w:pPr>
              <w:keepNext/>
              <w:keepLines/>
              <w:spacing w:before="260" w:after="260" w:line="416" w:lineRule="auto"/>
              <w:outlineLvl w:val="2"/>
              <w:rPr>
                <w:szCs w:val="21"/>
              </w:rPr>
            </w:pPr>
          </w:p>
        </w:tc>
        <w:tc>
          <w:tcPr>
            <w:tcW w:w="2344" w:type="dxa"/>
            <w:vMerge w:val="continue"/>
            <w:vAlign w:val="center"/>
          </w:tcPr>
          <w:p w14:paraId="24A70B91">
            <w:pPr>
              <w:keepNext/>
              <w:keepLines/>
              <w:spacing w:before="260" w:after="260" w:line="416" w:lineRule="auto"/>
              <w:outlineLvl w:val="2"/>
              <w:rPr>
                <w:szCs w:val="21"/>
              </w:rPr>
            </w:pPr>
          </w:p>
        </w:tc>
      </w:tr>
      <w:tr w14:paraId="2977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292D4B82">
            <w:pPr>
              <w:keepNext/>
              <w:keepLines/>
              <w:spacing w:before="260" w:after="260" w:line="416" w:lineRule="auto"/>
              <w:outlineLvl w:val="2"/>
              <w:rPr>
                <w:szCs w:val="21"/>
              </w:rPr>
            </w:pPr>
          </w:p>
        </w:tc>
        <w:tc>
          <w:tcPr>
            <w:tcW w:w="1702" w:type="dxa"/>
            <w:vAlign w:val="center"/>
          </w:tcPr>
          <w:p w14:paraId="1D0D12B2">
            <w:pPr>
              <w:rPr>
                <w:szCs w:val="21"/>
              </w:rPr>
            </w:pPr>
            <w:r>
              <w:rPr>
                <w:szCs w:val="21"/>
              </w:rPr>
              <w:t>表层土壤质地</w:t>
            </w:r>
          </w:p>
        </w:tc>
        <w:tc>
          <w:tcPr>
            <w:tcW w:w="1133" w:type="dxa"/>
            <w:vMerge w:val="continue"/>
            <w:vAlign w:val="center"/>
          </w:tcPr>
          <w:p w14:paraId="78C27CEE">
            <w:pPr>
              <w:keepNext/>
              <w:keepLines/>
              <w:spacing w:before="260" w:after="260" w:line="416" w:lineRule="auto"/>
              <w:outlineLvl w:val="2"/>
              <w:rPr>
                <w:szCs w:val="21"/>
              </w:rPr>
            </w:pPr>
          </w:p>
        </w:tc>
        <w:tc>
          <w:tcPr>
            <w:tcW w:w="1986" w:type="dxa"/>
            <w:vMerge w:val="continue"/>
            <w:vAlign w:val="center"/>
          </w:tcPr>
          <w:p w14:paraId="6E0F1180">
            <w:pPr>
              <w:keepNext/>
              <w:keepLines/>
              <w:spacing w:before="260" w:after="260" w:line="416" w:lineRule="auto"/>
              <w:outlineLvl w:val="2"/>
              <w:rPr>
                <w:szCs w:val="21"/>
              </w:rPr>
            </w:pPr>
          </w:p>
        </w:tc>
        <w:tc>
          <w:tcPr>
            <w:tcW w:w="2344" w:type="dxa"/>
            <w:vMerge w:val="continue"/>
            <w:vAlign w:val="center"/>
          </w:tcPr>
          <w:p w14:paraId="0B7D89A3">
            <w:pPr>
              <w:keepNext/>
              <w:keepLines/>
              <w:spacing w:before="260" w:after="260" w:line="416" w:lineRule="auto"/>
              <w:outlineLvl w:val="2"/>
              <w:rPr>
                <w:szCs w:val="21"/>
              </w:rPr>
            </w:pPr>
          </w:p>
        </w:tc>
      </w:tr>
      <w:tr w14:paraId="4CC0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1C0B8725">
            <w:pPr>
              <w:keepNext/>
              <w:keepLines/>
              <w:spacing w:before="260" w:after="260" w:line="416" w:lineRule="auto"/>
              <w:outlineLvl w:val="2"/>
              <w:rPr>
                <w:szCs w:val="21"/>
              </w:rPr>
            </w:pPr>
          </w:p>
        </w:tc>
        <w:tc>
          <w:tcPr>
            <w:tcW w:w="1702" w:type="dxa"/>
            <w:vAlign w:val="center"/>
          </w:tcPr>
          <w:p w14:paraId="74716770">
            <w:pPr>
              <w:rPr>
                <w:szCs w:val="21"/>
              </w:rPr>
            </w:pPr>
            <w:r>
              <w:rPr>
                <w:szCs w:val="21"/>
              </w:rPr>
              <w:t>土壤PH值</w:t>
            </w:r>
          </w:p>
        </w:tc>
        <w:tc>
          <w:tcPr>
            <w:tcW w:w="1133" w:type="dxa"/>
            <w:vMerge w:val="continue"/>
            <w:vAlign w:val="center"/>
          </w:tcPr>
          <w:p w14:paraId="2EC371FD">
            <w:pPr>
              <w:keepNext/>
              <w:keepLines/>
              <w:spacing w:before="260" w:after="260" w:line="416" w:lineRule="auto"/>
              <w:outlineLvl w:val="2"/>
              <w:rPr>
                <w:szCs w:val="21"/>
              </w:rPr>
            </w:pPr>
          </w:p>
        </w:tc>
        <w:tc>
          <w:tcPr>
            <w:tcW w:w="1986" w:type="dxa"/>
            <w:vMerge w:val="continue"/>
            <w:vAlign w:val="center"/>
          </w:tcPr>
          <w:p w14:paraId="541A4261">
            <w:pPr>
              <w:keepNext/>
              <w:keepLines/>
              <w:spacing w:before="260" w:after="260" w:line="416" w:lineRule="auto"/>
              <w:outlineLvl w:val="2"/>
              <w:rPr>
                <w:szCs w:val="21"/>
              </w:rPr>
            </w:pPr>
          </w:p>
        </w:tc>
        <w:tc>
          <w:tcPr>
            <w:tcW w:w="2344" w:type="dxa"/>
            <w:vMerge w:val="continue"/>
            <w:vAlign w:val="center"/>
          </w:tcPr>
          <w:p w14:paraId="6FDF90D8">
            <w:pPr>
              <w:keepNext/>
              <w:keepLines/>
              <w:spacing w:before="260" w:after="260" w:line="416" w:lineRule="auto"/>
              <w:outlineLvl w:val="2"/>
              <w:rPr>
                <w:szCs w:val="21"/>
              </w:rPr>
            </w:pPr>
          </w:p>
        </w:tc>
      </w:tr>
      <w:tr w14:paraId="5244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39466D2B">
            <w:pPr>
              <w:keepNext/>
              <w:keepLines/>
              <w:spacing w:before="260" w:after="260" w:line="416" w:lineRule="auto"/>
              <w:outlineLvl w:val="2"/>
              <w:rPr>
                <w:szCs w:val="21"/>
              </w:rPr>
            </w:pPr>
          </w:p>
        </w:tc>
        <w:tc>
          <w:tcPr>
            <w:tcW w:w="1702" w:type="dxa"/>
            <w:vAlign w:val="center"/>
          </w:tcPr>
          <w:p w14:paraId="2CF601C7">
            <w:pPr>
              <w:rPr>
                <w:szCs w:val="21"/>
              </w:rPr>
            </w:pPr>
            <w:r>
              <w:rPr>
                <w:szCs w:val="21"/>
              </w:rPr>
              <w:t>障碍层深度</w:t>
            </w:r>
          </w:p>
        </w:tc>
        <w:tc>
          <w:tcPr>
            <w:tcW w:w="1133" w:type="dxa"/>
            <w:vMerge w:val="continue"/>
            <w:vAlign w:val="center"/>
          </w:tcPr>
          <w:p w14:paraId="3369D8B4">
            <w:pPr>
              <w:keepNext/>
              <w:keepLines/>
              <w:spacing w:before="260" w:after="260" w:line="416" w:lineRule="auto"/>
              <w:outlineLvl w:val="2"/>
              <w:rPr>
                <w:szCs w:val="21"/>
              </w:rPr>
            </w:pPr>
          </w:p>
        </w:tc>
        <w:tc>
          <w:tcPr>
            <w:tcW w:w="1986" w:type="dxa"/>
            <w:vMerge w:val="continue"/>
            <w:vAlign w:val="center"/>
          </w:tcPr>
          <w:p w14:paraId="65EDACB6">
            <w:pPr>
              <w:keepNext/>
              <w:keepLines/>
              <w:spacing w:before="260" w:after="260" w:line="416" w:lineRule="auto"/>
              <w:outlineLvl w:val="2"/>
              <w:rPr>
                <w:szCs w:val="21"/>
              </w:rPr>
            </w:pPr>
          </w:p>
        </w:tc>
        <w:tc>
          <w:tcPr>
            <w:tcW w:w="2344" w:type="dxa"/>
            <w:vMerge w:val="continue"/>
            <w:vAlign w:val="center"/>
          </w:tcPr>
          <w:p w14:paraId="55A966AE">
            <w:pPr>
              <w:keepNext/>
              <w:keepLines/>
              <w:spacing w:before="260" w:after="260" w:line="416" w:lineRule="auto"/>
              <w:outlineLvl w:val="2"/>
              <w:rPr>
                <w:szCs w:val="21"/>
              </w:rPr>
            </w:pPr>
          </w:p>
        </w:tc>
      </w:tr>
      <w:tr w14:paraId="44E2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4D9CD218">
            <w:pPr>
              <w:keepNext/>
              <w:keepLines/>
              <w:spacing w:before="260" w:after="260" w:line="416" w:lineRule="auto"/>
              <w:outlineLvl w:val="2"/>
              <w:rPr>
                <w:szCs w:val="21"/>
              </w:rPr>
            </w:pPr>
          </w:p>
        </w:tc>
        <w:tc>
          <w:tcPr>
            <w:tcW w:w="1702" w:type="dxa"/>
            <w:vAlign w:val="center"/>
          </w:tcPr>
          <w:p w14:paraId="3E7E873D">
            <w:pPr>
              <w:rPr>
                <w:szCs w:val="21"/>
              </w:rPr>
            </w:pPr>
            <w:r>
              <w:rPr>
                <w:szCs w:val="21"/>
              </w:rPr>
              <w:t>土壤污染状况</w:t>
            </w:r>
          </w:p>
        </w:tc>
        <w:tc>
          <w:tcPr>
            <w:tcW w:w="1133" w:type="dxa"/>
            <w:vMerge w:val="continue"/>
            <w:vAlign w:val="center"/>
          </w:tcPr>
          <w:p w14:paraId="093A2B22">
            <w:pPr>
              <w:keepNext/>
              <w:keepLines/>
              <w:spacing w:before="260" w:after="260" w:line="416" w:lineRule="auto"/>
              <w:outlineLvl w:val="2"/>
              <w:rPr>
                <w:szCs w:val="21"/>
              </w:rPr>
            </w:pPr>
          </w:p>
        </w:tc>
        <w:tc>
          <w:tcPr>
            <w:tcW w:w="1986" w:type="dxa"/>
            <w:vMerge w:val="continue"/>
            <w:vAlign w:val="center"/>
          </w:tcPr>
          <w:p w14:paraId="00A8151D">
            <w:pPr>
              <w:keepNext/>
              <w:keepLines/>
              <w:spacing w:before="260" w:after="260" w:line="416" w:lineRule="auto"/>
              <w:outlineLvl w:val="2"/>
              <w:rPr>
                <w:szCs w:val="21"/>
              </w:rPr>
            </w:pPr>
          </w:p>
        </w:tc>
        <w:tc>
          <w:tcPr>
            <w:tcW w:w="2344" w:type="dxa"/>
            <w:vMerge w:val="continue"/>
            <w:vAlign w:val="center"/>
          </w:tcPr>
          <w:p w14:paraId="1FC1A920">
            <w:pPr>
              <w:keepNext/>
              <w:keepLines/>
              <w:spacing w:before="260" w:after="260" w:line="416" w:lineRule="auto"/>
              <w:outlineLvl w:val="2"/>
              <w:rPr>
                <w:szCs w:val="21"/>
              </w:rPr>
            </w:pPr>
          </w:p>
        </w:tc>
      </w:tr>
      <w:tr w14:paraId="3FCD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72248316">
            <w:pPr>
              <w:keepNext/>
              <w:keepLines/>
              <w:spacing w:before="260" w:after="260" w:line="416" w:lineRule="auto"/>
              <w:outlineLvl w:val="2"/>
              <w:rPr>
                <w:szCs w:val="21"/>
              </w:rPr>
            </w:pPr>
          </w:p>
        </w:tc>
        <w:tc>
          <w:tcPr>
            <w:tcW w:w="1702" w:type="dxa"/>
            <w:vAlign w:val="center"/>
          </w:tcPr>
          <w:p w14:paraId="64CF39F3">
            <w:pPr>
              <w:rPr>
                <w:szCs w:val="21"/>
              </w:rPr>
            </w:pPr>
            <w:r>
              <w:rPr>
                <w:szCs w:val="21"/>
              </w:rPr>
              <w:t>地下水埋深</w:t>
            </w:r>
          </w:p>
        </w:tc>
        <w:tc>
          <w:tcPr>
            <w:tcW w:w="1133" w:type="dxa"/>
            <w:vMerge w:val="continue"/>
            <w:vAlign w:val="center"/>
          </w:tcPr>
          <w:p w14:paraId="265340D6">
            <w:pPr>
              <w:keepNext/>
              <w:keepLines/>
              <w:spacing w:before="260" w:after="260" w:line="416" w:lineRule="auto"/>
              <w:outlineLvl w:val="2"/>
              <w:rPr>
                <w:szCs w:val="21"/>
              </w:rPr>
            </w:pPr>
          </w:p>
        </w:tc>
        <w:tc>
          <w:tcPr>
            <w:tcW w:w="1986" w:type="dxa"/>
            <w:vMerge w:val="continue"/>
            <w:vAlign w:val="center"/>
          </w:tcPr>
          <w:p w14:paraId="35D03C4D">
            <w:pPr>
              <w:keepNext/>
              <w:keepLines/>
              <w:spacing w:before="260" w:after="260" w:line="416" w:lineRule="auto"/>
              <w:outlineLvl w:val="2"/>
              <w:rPr>
                <w:szCs w:val="21"/>
              </w:rPr>
            </w:pPr>
          </w:p>
        </w:tc>
        <w:tc>
          <w:tcPr>
            <w:tcW w:w="2344" w:type="dxa"/>
            <w:vMerge w:val="continue"/>
            <w:vAlign w:val="center"/>
          </w:tcPr>
          <w:p w14:paraId="076B25A5">
            <w:pPr>
              <w:keepNext/>
              <w:keepLines/>
              <w:spacing w:before="260" w:after="260" w:line="416" w:lineRule="auto"/>
              <w:outlineLvl w:val="2"/>
              <w:rPr>
                <w:szCs w:val="21"/>
              </w:rPr>
            </w:pPr>
          </w:p>
        </w:tc>
      </w:tr>
      <w:tr w14:paraId="050C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03E84A94">
            <w:pPr>
              <w:keepNext/>
              <w:keepLines/>
              <w:spacing w:before="260" w:after="260" w:line="416" w:lineRule="auto"/>
              <w:outlineLvl w:val="2"/>
              <w:rPr>
                <w:szCs w:val="21"/>
              </w:rPr>
            </w:pPr>
          </w:p>
        </w:tc>
        <w:tc>
          <w:tcPr>
            <w:tcW w:w="1702" w:type="dxa"/>
            <w:vAlign w:val="center"/>
          </w:tcPr>
          <w:p w14:paraId="020F86BB">
            <w:pPr>
              <w:rPr>
                <w:szCs w:val="21"/>
              </w:rPr>
            </w:pPr>
            <w:r>
              <w:rPr>
                <w:szCs w:val="21"/>
              </w:rPr>
              <w:t>排水条件</w:t>
            </w:r>
          </w:p>
        </w:tc>
        <w:tc>
          <w:tcPr>
            <w:tcW w:w="1133" w:type="dxa"/>
            <w:vMerge w:val="continue"/>
            <w:vAlign w:val="center"/>
          </w:tcPr>
          <w:p w14:paraId="1C431332">
            <w:pPr>
              <w:keepNext/>
              <w:keepLines/>
              <w:spacing w:before="260" w:after="260" w:line="416" w:lineRule="auto"/>
              <w:outlineLvl w:val="2"/>
              <w:rPr>
                <w:szCs w:val="21"/>
              </w:rPr>
            </w:pPr>
          </w:p>
        </w:tc>
        <w:tc>
          <w:tcPr>
            <w:tcW w:w="1986" w:type="dxa"/>
            <w:vMerge w:val="continue"/>
            <w:vAlign w:val="center"/>
          </w:tcPr>
          <w:p w14:paraId="3C57146A">
            <w:pPr>
              <w:keepNext/>
              <w:keepLines/>
              <w:spacing w:before="260" w:after="260" w:line="416" w:lineRule="auto"/>
              <w:outlineLvl w:val="2"/>
              <w:rPr>
                <w:szCs w:val="21"/>
              </w:rPr>
            </w:pPr>
          </w:p>
        </w:tc>
        <w:tc>
          <w:tcPr>
            <w:tcW w:w="2344" w:type="dxa"/>
            <w:vMerge w:val="continue"/>
            <w:vAlign w:val="center"/>
          </w:tcPr>
          <w:p w14:paraId="14FAFE8E">
            <w:pPr>
              <w:keepNext/>
              <w:keepLines/>
              <w:spacing w:before="260" w:after="260" w:line="416" w:lineRule="auto"/>
              <w:outlineLvl w:val="2"/>
              <w:rPr>
                <w:szCs w:val="21"/>
              </w:rPr>
            </w:pPr>
          </w:p>
        </w:tc>
      </w:tr>
      <w:tr w14:paraId="7ED2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1F002BE3">
            <w:pPr>
              <w:keepNext/>
              <w:keepLines/>
              <w:spacing w:before="260" w:after="260" w:line="416" w:lineRule="auto"/>
              <w:outlineLvl w:val="2"/>
              <w:rPr>
                <w:szCs w:val="21"/>
              </w:rPr>
            </w:pPr>
          </w:p>
        </w:tc>
        <w:tc>
          <w:tcPr>
            <w:tcW w:w="1702" w:type="dxa"/>
            <w:vAlign w:val="center"/>
          </w:tcPr>
          <w:p w14:paraId="633DBB99">
            <w:pPr>
              <w:rPr>
                <w:szCs w:val="21"/>
              </w:rPr>
            </w:pPr>
            <w:r>
              <w:rPr>
                <w:szCs w:val="21"/>
              </w:rPr>
              <w:t>灌溉保证率</w:t>
            </w:r>
          </w:p>
        </w:tc>
        <w:tc>
          <w:tcPr>
            <w:tcW w:w="1133" w:type="dxa"/>
            <w:vMerge w:val="continue"/>
            <w:vAlign w:val="center"/>
          </w:tcPr>
          <w:p w14:paraId="23EAC483">
            <w:pPr>
              <w:keepNext/>
              <w:keepLines/>
              <w:spacing w:before="260" w:after="260" w:line="416" w:lineRule="auto"/>
              <w:outlineLvl w:val="2"/>
              <w:rPr>
                <w:szCs w:val="21"/>
              </w:rPr>
            </w:pPr>
          </w:p>
        </w:tc>
        <w:tc>
          <w:tcPr>
            <w:tcW w:w="1986" w:type="dxa"/>
            <w:vMerge w:val="continue"/>
            <w:vAlign w:val="center"/>
          </w:tcPr>
          <w:p w14:paraId="1E1D0709">
            <w:pPr>
              <w:keepNext/>
              <w:keepLines/>
              <w:spacing w:before="260" w:after="260" w:line="416" w:lineRule="auto"/>
              <w:outlineLvl w:val="2"/>
              <w:rPr>
                <w:szCs w:val="21"/>
              </w:rPr>
            </w:pPr>
          </w:p>
        </w:tc>
        <w:tc>
          <w:tcPr>
            <w:tcW w:w="2344" w:type="dxa"/>
            <w:vMerge w:val="continue"/>
            <w:vAlign w:val="center"/>
          </w:tcPr>
          <w:p w14:paraId="1C252414">
            <w:pPr>
              <w:keepNext/>
              <w:keepLines/>
              <w:spacing w:before="260" w:after="260" w:line="416" w:lineRule="auto"/>
              <w:outlineLvl w:val="2"/>
              <w:rPr>
                <w:szCs w:val="21"/>
              </w:rPr>
            </w:pPr>
          </w:p>
        </w:tc>
      </w:tr>
      <w:tr w14:paraId="134D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0A718643">
            <w:pPr>
              <w:keepNext/>
              <w:keepLines/>
              <w:spacing w:before="260" w:after="260" w:line="416" w:lineRule="auto"/>
              <w:outlineLvl w:val="2"/>
              <w:rPr>
                <w:szCs w:val="21"/>
              </w:rPr>
            </w:pPr>
          </w:p>
        </w:tc>
        <w:tc>
          <w:tcPr>
            <w:tcW w:w="1702" w:type="dxa"/>
            <w:vAlign w:val="center"/>
          </w:tcPr>
          <w:p w14:paraId="04E1E3F6">
            <w:pPr>
              <w:rPr>
                <w:szCs w:val="21"/>
              </w:rPr>
            </w:pPr>
            <w:r>
              <w:rPr>
                <w:szCs w:val="21"/>
              </w:rPr>
              <w:t>亩均资金投入</w:t>
            </w:r>
          </w:p>
        </w:tc>
        <w:tc>
          <w:tcPr>
            <w:tcW w:w="1133" w:type="dxa"/>
            <w:vMerge w:val="continue"/>
            <w:vAlign w:val="center"/>
          </w:tcPr>
          <w:p w14:paraId="299DF6E8">
            <w:pPr>
              <w:keepNext/>
              <w:keepLines/>
              <w:spacing w:before="260" w:after="260" w:line="416" w:lineRule="auto"/>
              <w:outlineLvl w:val="2"/>
              <w:rPr>
                <w:szCs w:val="21"/>
              </w:rPr>
            </w:pPr>
          </w:p>
        </w:tc>
        <w:tc>
          <w:tcPr>
            <w:tcW w:w="1986" w:type="dxa"/>
            <w:vMerge w:val="continue"/>
            <w:vAlign w:val="center"/>
          </w:tcPr>
          <w:p w14:paraId="39DE0B00">
            <w:pPr>
              <w:keepNext/>
              <w:keepLines/>
              <w:spacing w:before="260" w:after="260" w:line="416" w:lineRule="auto"/>
              <w:outlineLvl w:val="2"/>
              <w:rPr>
                <w:szCs w:val="21"/>
              </w:rPr>
            </w:pPr>
          </w:p>
        </w:tc>
        <w:tc>
          <w:tcPr>
            <w:tcW w:w="2344" w:type="dxa"/>
            <w:vMerge w:val="continue"/>
            <w:vAlign w:val="center"/>
          </w:tcPr>
          <w:p w14:paraId="3A89F005">
            <w:pPr>
              <w:keepNext/>
              <w:keepLines/>
              <w:spacing w:before="260" w:after="260" w:line="416" w:lineRule="auto"/>
              <w:outlineLvl w:val="2"/>
              <w:rPr>
                <w:szCs w:val="21"/>
              </w:rPr>
            </w:pPr>
          </w:p>
        </w:tc>
      </w:tr>
      <w:tr w14:paraId="0B8B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31" w:type="dxa"/>
            <w:vMerge w:val="continue"/>
            <w:vAlign w:val="center"/>
          </w:tcPr>
          <w:p w14:paraId="10514A1C">
            <w:pPr>
              <w:keepNext/>
              <w:keepLines/>
              <w:spacing w:before="260" w:after="260" w:line="416" w:lineRule="auto"/>
              <w:outlineLvl w:val="2"/>
              <w:rPr>
                <w:szCs w:val="21"/>
              </w:rPr>
            </w:pPr>
          </w:p>
        </w:tc>
        <w:tc>
          <w:tcPr>
            <w:tcW w:w="1702" w:type="dxa"/>
            <w:vAlign w:val="center"/>
          </w:tcPr>
          <w:p w14:paraId="65E026C5">
            <w:pPr>
              <w:rPr>
                <w:szCs w:val="21"/>
              </w:rPr>
            </w:pPr>
            <w:r>
              <w:rPr>
                <w:szCs w:val="21"/>
              </w:rPr>
              <w:t>亩均纯收益</w:t>
            </w:r>
          </w:p>
        </w:tc>
        <w:tc>
          <w:tcPr>
            <w:tcW w:w="1133" w:type="dxa"/>
            <w:vMerge w:val="continue"/>
            <w:vAlign w:val="center"/>
          </w:tcPr>
          <w:p w14:paraId="64DC6071">
            <w:pPr>
              <w:keepNext/>
              <w:keepLines/>
              <w:spacing w:before="260" w:after="260" w:line="416" w:lineRule="auto"/>
              <w:outlineLvl w:val="2"/>
              <w:rPr>
                <w:szCs w:val="21"/>
              </w:rPr>
            </w:pPr>
          </w:p>
        </w:tc>
        <w:tc>
          <w:tcPr>
            <w:tcW w:w="1986" w:type="dxa"/>
            <w:vMerge w:val="continue"/>
            <w:vAlign w:val="center"/>
          </w:tcPr>
          <w:p w14:paraId="3F828E54">
            <w:pPr>
              <w:keepNext/>
              <w:keepLines/>
              <w:spacing w:before="260" w:after="260" w:line="416" w:lineRule="auto"/>
              <w:outlineLvl w:val="2"/>
              <w:rPr>
                <w:szCs w:val="21"/>
              </w:rPr>
            </w:pPr>
          </w:p>
        </w:tc>
        <w:tc>
          <w:tcPr>
            <w:tcW w:w="2344" w:type="dxa"/>
            <w:vMerge w:val="continue"/>
            <w:vAlign w:val="center"/>
          </w:tcPr>
          <w:p w14:paraId="649A5736">
            <w:pPr>
              <w:keepNext/>
              <w:keepLines/>
              <w:spacing w:before="260" w:after="260" w:line="416" w:lineRule="auto"/>
              <w:outlineLvl w:val="2"/>
              <w:rPr>
                <w:szCs w:val="21"/>
              </w:rPr>
            </w:pPr>
          </w:p>
        </w:tc>
      </w:tr>
    </w:tbl>
    <w:p w14:paraId="5F9E3863">
      <w:pPr>
        <w:jc w:val="center"/>
        <w:rPr>
          <w:b/>
          <w:szCs w:val="21"/>
        </w:rPr>
      </w:pPr>
    </w:p>
    <w:p w14:paraId="0C98BC94">
      <w:pPr>
        <w:pStyle w:val="4"/>
        <w:widowControl w:val="0"/>
        <w:tabs>
          <w:tab w:val="left" w:pos="720"/>
        </w:tabs>
        <w:spacing w:before="120" w:after="120" w:line="500" w:lineRule="exact"/>
        <w:ind w:left="826" w:hanging="826"/>
        <w:jc w:val="both"/>
        <w:rPr>
          <w:rFonts w:ascii="宋体" w:hAnsi="宋体"/>
          <w:sz w:val="24"/>
          <w:szCs w:val="24"/>
        </w:rPr>
      </w:pPr>
      <w:bookmarkStart w:id="154" w:name="_Toc534833354"/>
      <w:bookmarkStart w:id="155" w:name="_Toc535399931"/>
      <w:bookmarkStart w:id="156" w:name="_Toc47384621"/>
      <w:bookmarkStart w:id="157" w:name="_Toc532729882"/>
      <w:r>
        <w:rPr>
          <w:rFonts w:hint="eastAsia" w:ascii="宋体" w:hAnsi="宋体"/>
          <w:sz w:val="24"/>
          <w:szCs w:val="24"/>
        </w:rPr>
        <w:t>3</w:t>
      </w:r>
      <w:r>
        <w:rPr>
          <w:rFonts w:ascii="宋体" w:hAnsi="宋体"/>
          <w:sz w:val="24"/>
          <w:szCs w:val="24"/>
        </w:rPr>
        <w:t>.4.3 因素作用分值的最后确定</w:t>
      </w:r>
      <w:bookmarkEnd w:id="154"/>
      <w:bookmarkEnd w:id="155"/>
      <w:bookmarkEnd w:id="156"/>
      <w:bookmarkEnd w:id="157"/>
    </w:p>
    <w:p w14:paraId="463BC858">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定级因素根据其对网格点作用分结果的不同，可分为分值叠加型和单一取值型。单一取值型是指某一网格点的作用分，为该因素内各级设施对该网格点作用分值的最大值。即：</w:t>
      </w:r>
    </w:p>
    <w:p w14:paraId="03EE491E">
      <w:pPr>
        <w:pStyle w:val="78"/>
        <w:snapToGrid w:val="0"/>
        <w:ind w:firstLine="420"/>
        <w:jc w:val="center"/>
        <w:rPr>
          <w:spacing w:val="0"/>
          <w:sz w:val="21"/>
          <w:szCs w:val="21"/>
        </w:rPr>
      </w:pPr>
      <w:r>
        <w:rPr>
          <w:spacing w:val="0"/>
          <w:position w:val="-12"/>
          <w:sz w:val="21"/>
          <w:szCs w:val="21"/>
        </w:rPr>
        <w:object>
          <v:shape id="_x0000_i1048" o:spt="75" type="#_x0000_t75" style="height:18.75pt;width:47.25pt;" o:ole="t" fillcolor="#6D6D6D" filled="f" o:preferrelative="t" stroked="f" coordsize="21600,21600">
            <v:path/>
            <v:fill on="f" focussize="0,0"/>
            <v:stroke on="f" joinstyle="miter"/>
            <v:imagedata r:id="rId58" o:title=""/>
            <o:lock v:ext="edit" aspectratio="t"/>
            <w10:wrap type="none"/>
            <w10:anchorlock/>
          </v:shape>
          <o:OLEObject Type="Embed" ProgID="Equation.3" ShapeID="_x0000_i1048" DrawAspect="Content" ObjectID="_1468075748" r:id="rId57">
            <o:LockedField>false</o:LockedField>
          </o:OLEObject>
        </w:object>
      </w:r>
    </w:p>
    <w:p w14:paraId="4A72E179">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式中：</w:t>
      </w:r>
      <w:r>
        <w:rPr>
          <w:rFonts w:ascii="Times New Roman" w:hAnsi="Times New Roman" w:cs="Times New Roman"/>
          <w:sz w:val="24"/>
        </w:rPr>
        <w:object>
          <v:shape id="_x0000_i1049" o:spt="75" type="#_x0000_t75" style="height:18.75pt;width:16.5pt;" o:ole="t" fillcolor="#6D6D6D" filled="f" o:preferrelative="t" stroked="f" coordsize="21600,21600">
            <v:path/>
            <v:fill on="f" focussize="0,0"/>
            <v:stroke on="f" joinstyle="miter"/>
            <v:imagedata r:id="rId60" o:title=""/>
            <o:lock v:ext="edit" aspectratio="t"/>
            <w10:wrap type="none"/>
            <w10:anchorlock/>
          </v:shape>
          <o:OLEObject Type="Embed" ProgID="Equation.3" ShapeID="_x0000_i1049" DrawAspect="Content" ObjectID="_1468075749" r:id="rId59">
            <o:LockedField>false</o:LockedField>
          </o:OLEObject>
        </w:object>
      </w:r>
      <w:r>
        <w:rPr>
          <w:rFonts w:ascii="Times New Roman" w:hAnsi="Times New Roman" w:cs="Times New Roman"/>
          <w:sz w:val="24"/>
        </w:rPr>
        <w:t>─某因素对某网格点的最终作用分；</w:t>
      </w:r>
    </w:p>
    <w:p w14:paraId="1BC003C7">
      <w:pPr>
        <w:pStyle w:val="12"/>
        <w:spacing w:line="500" w:lineRule="exact"/>
        <w:ind w:firstLine="1200" w:firstLineChars="500"/>
        <w:rPr>
          <w:rFonts w:ascii="Times New Roman" w:hAnsi="Times New Roman" w:cs="Times New Roman"/>
          <w:sz w:val="24"/>
        </w:rPr>
      </w:pPr>
      <w:r>
        <w:rPr>
          <w:rFonts w:ascii="Times New Roman" w:hAnsi="Times New Roman" w:cs="Times New Roman"/>
          <w:sz w:val="24"/>
        </w:rPr>
        <w:object>
          <v:shape id="_x0000_i1050" o:spt="75" type="#_x0000_t75" style="height:18.75pt;width:27.75pt;" o:ole="t" fillcolor="#6D6D6D" filled="f" o:preferrelative="t" stroked="f" coordsize="21600,21600">
            <v:path/>
            <v:fill on="f" focussize="0,0"/>
            <v:stroke on="f" joinstyle="miter"/>
            <v:imagedata r:id="rId62" o:title=""/>
            <o:lock v:ext="edit" aspectratio="t"/>
            <w10:wrap type="none"/>
            <w10:anchorlock/>
          </v:shape>
          <o:OLEObject Type="Embed" ProgID="Equation.3" ShapeID="_x0000_i1050" DrawAspect="Content" ObjectID="_1468075750" r:id="rId61">
            <o:LockedField>false</o:LockedField>
          </o:OLEObject>
        </w:object>
      </w:r>
      <w:r>
        <w:rPr>
          <w:rFonts w:ascii="Times New Roman" w:hAnsi="Times New Roman" w:cs="Times New Roman"/>
          <w:sz w:val="24"/>
        </w:rPr>
        <w:t>─该因素的对某网格点作用分值的最大值。</w:t>
      </w:r>
    </w:p>
    <w:p w14:paraId="51C572FD">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分值叠加型因素中，高一级设施包括低一级设施的功能，由于高、低级功能分和服务半径不同，需将高级设施中的低级功能分离出来独立考虑，该因素对一网格点的作用分最终结果为各级设施中最大设施作用分之和，即：</w:t>
      </w:r>
    </w:p>
    <w:p w14:paraId="49AF09FC">
      <w:pPr>
        <w:pStyle w:val="78"/>
        <w:snapToGrid w:val="0"/>
        <w:ind w:firstLine="420"/>
        <w:jc w:val="center"/>
        <w:rPr>
          <w:spacing w:val="0"/>
          <w:sz w:val="21"/>
          <w:szCs w:val="21"/>
        </w:rPr>
      </w:pPr>
      <w:r>
        <w:rPr>
          <w:spacing w:val="0"/>
          <w:sz w:val="21"/>
          <w:szCs w:val="21"/>
        </w:rPr>
        <w:object>
          <v:shape id="_x0000_i1051" o:spt="75" type="#_x0000_t75" style="height:39pt;width:77.25pt;" o:ole="t" fillcolor="#6D6D6D" filled="f" o:preferrelative="t" stroked="f" coordsize="21600,21600">
            <v:path/>
            <v:fill on="f" focussize="0,0"/>
            <v:stroke on="f" joinstyle="miter"/>
            <v:imagedata r:id="rId64" o:title=""/>
            <o:lock v:ext="edit" aspectratio="t"/>
            <w10:wrap type="none"/>
            <w10:anchorlock/>
          </v:shape>
          <o:OLEObject Type="Embed" ProgID="Equation.3" ShapeID="_x0000_i1051" DrawAspect="Content" ObjectID="_1468075751" r:id="rId63">
            <o:LockedField>false</o:LockedField>
          </o:OLEObject>
        </w:object>
      </w:r>
    </w:p>
    <w:p w14:paraId="3F5A26E0">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式中：</w:t>
      </w:r>
      <w:r>
        <w:rPr>
          <w:rFonts w:ascii="Times New Roman" w:hAnsi="Times New Roman" w:cs="Times New Roman"/>
          <w:sz w:val="24"/>
        </w:rPr>
        <w:object>
          <v:shape id="_x0000_i1052" o:spt="75" type="#_x0000_t75" style="height:18.75pt;width:16.5pt;" o:ole="t" fillcolor="#6D6D6D" filled="f" o:preferrelative="t" stroked="f" coordsize="21600,21600">
            <v:path/>
            <v:fill on="f" focussize="0,0"/>
            <v:stroke on="f" joinstyle="miter"/>
            <v:imagedata r:id="rId66" o:title=""/>
            <o:lock v:ext="edit" aspectratio="t"/>
            <w10:wrap type="none"/>
            <w10:anchorlock/>
          </v:shape>
          <o:OLEObject Type="Embed" ProgID="Equation.3" ShapeID="_x0000_i1052" DrawAspect="Content" ObjectID="_1468075752" r:id="rId65">
            <o:LockedField>false</o:LockedField>
          </o:OLEObject>
        </w:object>
      </w:r>
      <w:r>
        <w:rPr>
          <w:rFonts w:ascii="Times New Roman" w:hAnsi="Times New Roman" w:cs="Times New Roman"/>
          <w:sz w:val="24"/>
        </w:rPr>
        <w:t>─该因素对一网格点的最终作用分；</w:t>
      </w:r>
    </w:p>
    <w:p w14:paraId="39610479">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j ─设施级别；</w:t>
      </w:r>
    </w:p>
    <w:p w14:paraId="2BB76E82">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m ─设施级别数目；</w:t>
      </w:r>
    </w:p>
    <w:p w14:paraId="4A754311">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object>
          <v:shape id="_x0000_i1053" o:spt="75" type="#_x0000_t75" style="height:18.75pt;width:27.75pt;" o:ole="t" fillcolor="#6D6D6D" filled="f" o:preferrelative="t" stroked="f" coordsize="21600,21600">
            <v:path/>
            <v:fill on="f" focussize="0,0"/>
            <v:stroke on="f" joinstyle="miter"/>
            <v:imagedata r:id="rId68" o:title=""/>
            <o:lock v:ext="edit" aspectratio="t"/>
            <w10:wrap type="none"/>
            <w10:anchorlock/>
          </v:shape>
          <o:OLEObject Type="Embed" ProgID="Equation.3" ShapeID="_x0000_i1053" DrawAspect="Content" ObjectID="_1468075753" r:id="rId67">
            <o:LockedField>false</o:LockedField>
          </o:OLEObject>
        </w:object>
      </w:r>
      <w:r>
        <w:rPr>
          <w:rFonts w:ascii="Times New Roman" w:hAnsi="Times New Roman" w:cs="Times New Roman"/>
          <w:sz w:val="24"/>
        </w:rPr>
        <w:t>─该因素第j级设施对一网格点的最大作用分。</w:t>
      </w:r>
    </w:p>
    <w:p w14:paraId="25C14C07">
      <w:pPr>
        <w:pStyle w:val="4"/>
        <w:widowControl w:val="0"/>
        <w:tabs>
          <w:tab w:val="left" w:pos="720"/>
        </w:tabs>
        <w:spacing w:before="120" w:after="120" w:line="500" w:lineRule="exact"/>
        <w:ind w:left="826" w:hanging="826"/>
        <w:jc w:val="both"/>
        <w:rPr>
          <w:rFonts w:ascii="宋体" w:hAnsi="宋体"/>
          <w:sz w:val="24"/>
          <w:szCs w:val="24"/>
        </w:rPr>
      </w:pPr>
      <w:bookmarkStart w:id="158" w:name="_Toc532729883"/>
      <w:bookmarkStart w:id="159" w:name="_Toc535399932"/>
      <w:bookmarkStart w:id="160" w:name="_Toc534833355"/>
      <w:bookmarkStart w:id="161" w:name="_Toc47384622"/>
      <w:r>
        <w:rPr>
          <w:rFonts w:hint="eastAsia" w:ascii="宋体" w:hAnsi="宋体"/>
          <w:sz w:val="24"/>
          <w:szCs w:val="24"/>
        </w:rPr>
        <w:t>3</w:t>
      </w:r>
      <w:r>
        <w:rPr>
          <w:rFonts w:ascii="宋体" w:hAnsi="宋体"/>
          <w:sz w:val="24"/>
          <w:szCs w:val="24"/>
        </w:rPr>
        <w:t>.4.4 单元分值图和各因素作用分值图</w:t>
      </w:r>
      <w:bookmarkEnd w:id="158"/>
      <w:bookmarkEnd w:id="159"/>
      <w:bookmarkEnd w:id="160"/>
      <w:bookmarkEnd w:id="161"/>
    </w:p>
    <w:p w14:paraId="6C9A5245">
      <w:pPr>
        <w:snapToGrid w:val="0"/>
        <w:spacing w:line="500" w:lineRule="exact"/>
        <w:ind w:firstLine="480" w:firstLineChars="200"/>
        <w:rPr>
          <w:sz w:val="24"/>
          <w:szCs w:val="20"/>
        </w:rPr>
      </w:pPr>
      <w:r>
        <w:rPr>
          <w:sz w:val="24"/>
          <w:szCs w:val="20"/>
        </w:rPr>
        <w:t>本轮国有农用地定级工作中，定级因子的作用分计算辅助“土地定级及基准地价动态更新系统”软件系统完成，首先是形成因子分布图，然后根据因子的功能分和衰减方式绘制各类用地的定级因子作用分级别分布图。</w:t>
      </w:r>
    </w:p>
    <w:p w14:paraId="2D7CE070">
      <w:pPr>
        <w:snapToGrid w:val="0"/>
        <w:spacing w:line="500" w:lineRule="exact"/>
        <w:ind w:firstLine="480" w:firstLineChars="200"/>
        <w:rPr>
          <w:sz w:val="24"/>
          <w:szCs w:val="20"/>
        </w:rPr>
      </w:pPr>
    </w:p>
    <w:p w14:paraId="0CB0482A">
      <w:pPr>
        <w:ind w:firstLine="480"/>
        <w:jc w:val="center"/>
        <w:rPr>
          <w:sz w:val="24"/>
          <w:szCs w:val="20"/>
        </w:rPr>
      </w:pPr>
      <w:r>
        <w:rPr>
          <w:sz w:val="24"/>
          <w:szCs w:val="20"/>
        </w:rPr>
        <w:drawing>
          <wp:inline distT="0" distB="0" distL="0" distR="0">
            <wp:extent cx="4645025" cy="6569710"/>
            <wp:effectExtent l="0" t="0" r="3175" b="2540"/>
            <wp:docPr id="28" name="图片 28" descr="E:\基准地价2\国有农用地\出图\国有农用地定级与地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基准地价2\国有农用地\出图\国有农用地定级与地价.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4648656" cy="6574566"/>
                    </a:xfrm>
                    <a:prstGeom prst="rect">
                      <a:avLst/>
                    </a:prstGeom>
                    <a:noFill/>
                    <a:ln>
                      <a:noFill/>
                    </a:ln>
                  </pic:spPr>
                </pic:pic>
              </a:graphicData>
            </a:graphic>
          </wp:inline>
        </w:drawing>
      </w:r>
    </w:p>
    <w:p w14:paraId="0047F111">
      <w:pPr>
        <w:spacing w:before="156" w:beforeLines="50"/>
        <w:ind w:firstLine="422"/>
        <w:jc w:val="center"/>
        <w:rPr>
          <w:b/>
          <w:szCs w:val="21"/>
        </w:rPr>
      </w:pPr>
      <w:r>
        <w:rPr>
          <w:b/>
          <w:szCs w:val="21"/>
        </w:rPr>
        <w:t>图3-2国有农用地单元综合分级别分布图</w:t>
      </w:r>
    </w:p>
    <w:p w14:paraId="2CA4D82B">
      <w:pPr>
        <w:spacing w:line="500" w:lineRule="exact"/>
        <w:ind w:firstLine="480" w:firstLineChars="200"/>
        <w:rPr>
          <w:sz w:val="24"/>
          <w:szCs w:val="20"/>
        </w:rPr>
        <w:sectPr>
          <w:footerReference r:id="rId5" w:type="default"/>
          <w:type w:val="continuous"/>
          <w:pgSz w:w="11906" w:h="16838"/>
          <w:pgMar w:top="1440" w:right="1800" w:bottom="1440" w:left="1800" w:header="851" w:footer="992" w:gutter="0"/>
          <w:pgNumType w:start="0"/>
          <w:cols w:space="425" w:num="1"/>
          <w:titlePg/>
          <w:docGrid w:type="lines" w:linePitch="312" w:charSpace="0"/>
        </w:sectPr>
      </w:pPr>
    </w:p>
    <w:p w14:paraId="036C393C">
      <w:pPr>
        <w:spacing w:before="156" w:beforeLines="50"/>
        <w:ind w:firstLine="422"/>
        <w:jc w:val="center"/>
        <w:rPr>
          <w:b/>
          <w:szCs w:val="21"/>
        </w:rPr>
      </w:pPr>
    </w:p>
    <w:p w14:paraId="43843590">
      <w:pPr>
        <w:spacing w:before="156" w:beforeLines="50"/>
        <w:ind w:firstLine="422"/>
        <w:jc w:val="center"/>
        <w:rPr>
          <w:b/>
          <w:szCs w:val="21"/>
        </w:rPr>
      </w:pPr>
    </w:p>
    <w:p w14:paraId="0631F92A">
      <w:pPr>
        <w:spacing w:before="156" w:beforeLines="50"/>
        <w:ind w:firstLine="422"/>
        <w:jc w:val="center"/>
        <w:rPr>
          <w:b/>
          <w:szCs w:val="21"/>
        </w:rPr>
      </w:pPr>
    </w:p>
    <w:p w14:paraId="350305DC">
      <w:pPr>
        <w:spacing w:before="156" w:beforeLines="50"/>
        <w:ind w:firstLine="422"/>
        <w:jc w:val="center"/>
        <w:rPr>
          <w:b/>
          <w:szCs w:val="21"/>
        </w:rPr>
      </w:pPr>
    </w:p>
    <w:p w14:paraId="48B0B7F6">
      <w:pPr>
        <w:spacing w:before="156" w:beforeLines="50"/>
        <w:ind w:firstLine="422"/>
        <w:jc w:val="center"/>
        <w:rPr>
          <w:b/>
          <w:szCs w:val="21"/>
        </w:rPr>
      </w:pPr>
    </w:p>
    <w:p w14:paraId="44FDE3A6">
      <w:pPr>
        <w:spacing w:before="156" w:beforeLines="50"/>
        <w:ind w:firstLine="422"/>
        <w:jc w:val="center"/>
        <w:rPr>
          <w:b/>
          <w:szCs w:val="21"/>
        </w:rPr>
      </w:pPr>
    </w:p>
    <w:p w14:paraId="51DF0FF7">
      <w:pPr>
        <w:spacing w:before="156" w:beforeLines="50"/>
        <w:ind w:firstLine="422"/>
        <w:jc w:val="center"/>
        <w:rPr>
          <w:b/>
          <w:szCs w:val="21"/>
        </w:rPr>
      </w:pPr>
    </w:p>
    <w:p w14:paraId="4E175731">
      <w:pPr>
        <w:spacing w:before="156" w:beforeLines="50"/>
        <w:ind w:firstLine="422"/>
        <w:jc w:val="center"/>
        <w:rPr>
          <w:b/>
          <w:szCs w:val="21"/>
        </w:rPr>
      </w:pPr>
    </w:p>
    <w:p w14:paraId="36E8621E">
      <w:pPr>
        <w:spacing w:before="156" w:beforeLines="50"/>
        <w:ind w:firstLine="422"/>
        <w:jc w:val="center"/>
        <w:rPr>
          <w:b/>
          <w:szCs w:val="21"/>
        </w:rPr>
      </w:pPr>
    </w:p>
    <w:p w14:paraId="60838A12">
      <w:pPr>
        <w:spacing w:before="156" w:beforeLines="50"/>
        <w:ind w:firstLine="422"/>
        <w:jc w:val="center"/>
        <w:rPr>
          <w:b/>
          <w:szCs w:val="21"/>
        </w:rPr>
      </w:pPr>
    </w:p>
    <w:p w14:paraId="70743025">
      <w:pPr>
        <w:spacing w:before="156" w:beforeLines="50"/>
        <w:ind w:firstLine="422"/>
        <w:jc w:val="center"/>
        <w:rPr>
          <w:b/>
          <w:szCs w:val="21"/>
        </w:rPr>
      </w:pPr>
    </w:p>
    <w:p w14:paraId="3304DF34">
      <w:pPr>
        <w:spacing w:before="156" w:beforeLines="50"/>
        <w:ind w:firstLine="422"/>
        <w:jc w:val="center"/>
        <w:rPr>
          <w:b/>
          <w:szCs w:val="21"/>
        </w:rPr>
      </w:pPr>
    </w:p>
    <w:p w14:paraId="1AD0DF70">
      <w:pPr>
        <w:spacing w:before="156" w:beforeLines="50"/>
        <w:ind w:firstLine="422"/>
        <w:jc w:val="center"/>
        <w:rPr>
          <w:b/>
          <w:szCs w:val="21"/>
        </w:rPr>
      </w:pPr>
    </w:p>
    <w:p w14:paraId="7441047D">
      <w:pPr>
        <w:spacing w:before="156" w:beforeLines="50"/>
        <w:ind w:firstLine="422"/>
        <w:jc w:val="center"/>
        <w:rPr>
          <w:b/>
          <w:szCs w:val="21"/>
        </w:rPr>
      </w:pPr>
      <w:r>
        <w:rPr>
          <w:rFonts w:hint="eastAsia"/>
          <w:b/>
          <w:szCs w:val="21"/>
        </w:rPr>
        <w:drawing>
          <wp:anchor distT="0" distB="0" distL="114300" distR="114300" simplePos="0" relativeHeight="251660288" behindDoc="0" locked="0" layoutInCell="1" allowOverlap="1">
            <wp:simplePos x="0" y="0"/>
            <wp:positionH relativeFrom="column">
              <wp:posOffset>34925</wp:posOffset>
            </wp:positionH>
            <wp:positionV relativeFrom="paragraph">
              <wp:posOffset>88900</wp:posOffset>
            </wp:positionV>
            <wp:extent cx="2500630" cy="3540125"/>
            <wp:effectExtent l="19050" t="0" r="0" b="0"/>
            <wp:wrapNone/>
            <wp:docPr id="4" name="图片 4" descr="E:\基准地价2\国有农用地\出图\坡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基准地价2\国有农用地\出图\坡度.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2500630" cy="3540125"/>
                    </a:xfrm>
                    <a:prstGeom prst="rect">
                      <a:avLst/>
                    </a:prstGeom>
                    <a:noFill/>
                    <a:ln>
                      <a:noFill/>
                    </a:ln>
                  </pic:spPr>
                </pic:pic>
              </a:graphicData>
            </a:graphic>
          </wp:anchor>
        </w:drawing>
      </w:r>
    </w:p>
    <w:p w14:paraId="62F5F6AA">
      <w:pPr>
        <w:spacing w:before="156" w:beforeLines="50"/>
        <w:ind w:firstLine="422"/>
        <w:jc w:val="center"/>
        <w:rPr>
          <w:b/>
          <w:szCs w:val="21"/>
        </w:rPr>
      </w:pPr>
    </w:p>
    <w:p w14:paraId="2A85182A">
      <w:pPr>
        <w:spacing w:before="156" w:beforeLines="50"/>
        <w:ind w:firstLine="422"/>
        <w:jc w:val="center"/>
        <w:rPr>
          <w:b/>
          <w:szCs w:val="21"/>
        </w:rPr>
      </w:pPr>
    </w:p>
    <w:p w14:paraId="7C09FE72">
      <w:pPr>
        <w:spacing w:before="156" w:beforeLines="50"/>
        <w:ind w:firstLine="422"/>
        <w:jc w:val="center"/>
        <w:rPr>
          <w:b/>
          <w:szCs w:val="21"/>
        </w:rPr>
      </w:pPr>
    </w:p>
    <w:p w14:paraId="633BB894">
      <w:pPr>
        <w:spacing w:before="156" w:beforeLines="50"/>
        <w:ind w:firstLine="422"/>
        <w:jc w:val="center"/>
        <w:rPr>
          <w:b/>
          <w:szCs w:val="21"/>
        </w:rPr>
      </w:pPr>
    </w:p>
    <w:p w14:paraId="7C1C1FCB">
      <w:pPr>
        <w:spacing w:before="156" w:beforeLines="50"/>
        <w:ind w:firstLine="422"/>
        <w:jc w:val="center"/>
        <w:rPr>
          <w:b/>
          <w:szCs w:val="21"/>
        </w:rPr>
      </w:pPr>
    </w:p>
    <w:p w14:paraId="383C9AE1">
      <w:pPr>
        <w:spacing w:before="156" w:beforeLines="50"/>
        <w:ind w:firstLine="422"/>
        <w:jc w:val="center"/>
        <w:rPr>
          <w:b/>
          <w:szCs w:val="21"/>
        </w:rPr>
      </w:pPr>
    </w:p>
    <w:p w14:paraId="5E8DED6B">
      <w:pPr>
        <w:spacing w:before="156" w:beforeLines="50"/>
        <w:ind w:firstLine="422"/>
        <w:jc w:val="center"/>
        <w:rPr>
          <w:b/>
          <w:szCs w:val="21"/>
        </w:rPr>
      </w:pPr>
    </w:p>
    <w:p w14:paraId="3A3C5EE5">
      <w:pPr>
        <w:spacing w:before="156" w:beforeLines="50"/>
        <w:ind w:firstLine="422"/>
        <w:jc w:val="center"/>
        <w:rPr>
          <w:b/>
          <w:szCs w:val="21"/>
        </w:rPr>
      </w:pPr>
    </w:p>
    <w:p w14:paraId="48712176">
      <w:pPr>
        <w:spacing w:before="156" w:beforeLines="50"/>
        <w:ind w:firstLine="422"/>
        <w:jc w:val="center"/>
        <w:rPr>
          <w:b/>
          <w:szCs w:val="21"/>
        </w:rPr>
      </w:pPr>
    </w:p>
    <w:p w14:paraId="33A4B10F">
      <w:pPr>
        <w:spacing w:before="156" w:beforeLines="50"/>
        <w:ind w:firstLine="422"/>
        <w:jc w:val="center"/>
        <w:rPr>
          <w:b/>
          <w:szCs w:val="21"/>
        </w:rPr>
      </w:pPr>
    </w:p>
    <w:p w14:paraId="0BA7972A">
      <w:pPr>
        <w:spacing w:before="156" w:beforeLines="50"/>
        <w:ind w:firstLine="422"/>
        <w:jc w:val="center"/>
        <w:rPr>
          <w:b/>
          <w:szCs w:val="21"/>
        </w:rPr>
      </w:pPr>
    </w:p>
    <w:p w14:paraId="33F29C81">
      <w:pPr>
        <w:spacing w:before="156" w:beforeLines="50"/>
        <w:ind w:firstLine="422"/>
        <w:jc w:val="center"/>
        <w:rPr>
          <w:b/>
          <w:szCs w:val="21"/>
        </w:rPr>
      </w:pPr>
      <w:r>
        <w:rPr>
          <w:b/>
          <w:szCs w:val="21"/>
        </w:rPr>
        <w:t>图3-3坡度作用分级别分布图</w:t>
      </w:r>
    </w:p>
    <w:p w14:paraId="7AE4C1EA">
      <w:pPr>
        <w:spacing w:before="156" w:beforeLines="50"/>
        <w:ind w:firstLine="422"/>
        <w:jc w:val="center"/>
        <w:rPr>
          <w:b/>
          <w:szCs w:val="21"/>
        </w:rPr>
      </w:pPr>
      <w:r>
        <w:rPr>
          <w:b/>
          <w:szCs w:val="21"/>
        </w:rPr>
        <w:drawing>
          <wp:anchor distT="0" distB="0" distL="114300" distR="114300" simplePos="0" relativeHeight="251661312" behindDoc="0" locked="0" layoutInCell="1" allowOverlap="1">
            <wp:simplePos x="0" y="0"/>
            <wp:positionH relativeFrom="column">
              <wp:posOffset>34925</wp:posOffset>
            </wp:positionH>
            <wp:positionV relativeFrom="paragraph">
              <wp:posOffset>137795</wp:posOffset>
            </wp:positionV>
            <wp:extent cx="2500630" cy="3529965"/>
            <wp:effectExtent l="19050" t="0" r="0" b="0"/>
            <wp:wrapNone/>
            <wp:docPr id="9" name="图片 9" descr="E:\基准地价2\国有农用地\出图\113\土壤剖面构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基准地价2\国有农用地\出图\113\土壤剖面构型.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2500866" cy="3530009"/>
                    </a:xfrm>
                    <a:prstGeom prst="rect">
                      <a:avLst/>
                    </a:prstGeom>
                    <a:noFill/>
                    <a:ln>
                      <a:noFill/>
                    </a:ln>
                  </pic:spPr>
                </pic:pic>
              </a:graphicData>
            </a:graphic>
          </wp:anchor>
        </w:drawing>
      </w:r>
    </w:p>
    <w:p w14:paraId="6E4213F8">
      <w:pPr>
        <w:spacing w:before="156" w:beforeLines="50"/>
        <w:rPr>
          <w:b/>
          <w:szCs w:val="21"/>
        </w:rPr>
      </w:pPr>
    </w:p>
    <w:p w14:paraId="3402296D">
      <w:pPr>
        <w:spacing w:before="156" w:beforeLines="50"/>
        <w:rPr>
          <w:b/>
          <w:szCs w:val="21"/>
        </w:rPr>
      </w:pPr>
    </w:p>
    <w:p w14:paraId="433166A9">
      <w:pPr>
        <w:spacing w:before="156" w:beforeLines="50"/>
        <w:rPr>
          <w:b/>
          <w:szCs w:val="21"/>
        </w:rPr>
      </w:pPr>
    </w:p>
    <w:p w14:paraId="0F174112">
      <w:pPr>
        <w:spacing w:before="156" w:beforeLines="50"/>
        <w:rPr>
          <w:b/>
          <w:szCs w:val="21"/>
        </w:rPr>
      </w:pPr>
    </w:p>
    <w:p w14:paraId="3FDC2637">
      <w:pPr>
        <w:spacing w:before="156" w:beforeLines="50"/>
        <w:rPr>
          <w:b/>
          <w:szCs w:val="21"/>
        </w:rPr>
      </w:pPr>
    </w:p>
    <w:p w14:paraId="6E94F43A">
      <w:pPr>
        <w:spacing w:before="156" w:beforeLines="50"/>
        <w:rPr>
          <w:b/>
          <w:szCs w:val="21"/>
        </w:rPr>
      </w:pPr>
    </w:p>
    <w:p w14:paraId="183A1C56">
      <w:pPr>
        <w:spacing w:before="156" w:beforeLines="50"/>
        <w:rPr>
          <w:b/>
          <w:szCs w:val="21"/>
        </w:rPr>
      </w:pPr>
    </w:p>
    <w:p w14:paraId="766D0786">
      <w:pPr>
        <w:spacing w:before="156" w:beforeLines="50"/>
        <w:rPr>
          <w:b/>
          <w:szCs w:val="21"/>
        </w:rPr>
      </w:pPr>
    </w:p>
    <w:p w14:paraId="308F2F71">
      <w:pPr>
        <w:spacing w:before="156" w:beforeLines="50"/>
        <w:rPr>
          <w:b/>
          <w:szCs w:val="21"/>
        </w:rPr>
      </w:pPr>
    </w:p>
    <w:p w14:paraId="49427580">
      <w:pPr>
        <w:spacing w:before="156" w:beforeLines="50"/>
        <w:rPr>
          <w:b/>
          <w:szCs w:val="21"/>
        </w:rPr>
      </w:pPr>
    </w:p>
    <w:p w14:paraId="7441E2E7">
      <w:pPr>
        <w:spacing w:before="156" w:beforeLines="50"/>
        <w:rPr>
          <w:b/>
          <w:szCs w:val="21"/>
        </w:rPr>
      </w:pPr>
    </w:p>
    <w:p w14:paraId="10C3EAD5">
      <w:pPr>
        <w:spacing w:before="156" w:beforeLines="50"/>
        <w:rPr>
          <w:b/>
          <w:szCs w:val="21"/>
        </w:rPr>
      </w:pPr>
    </w:p>
    <w:p w14:paraId="02CD10FC">
      <w:pPr>
        <w:ind w:firstLine="316" w:firstLineChars="150"/>
        <w:rPr>
          <w:b/>
          <w:szCs w:val="21"/>
        </w:rPr>
      </w:pPr>
      <w:r>
        <w:rPr>
          <w:b/>
          <w:szCs w:val="21"/>
        </w:rPr>
        <w:t>图3-5土壤剖面构型作用分级别分布图</w:t>
      </w:r>
    </w:p>
    <w:p w14:paraId="13A333E1">
      <w:pPr>
        <w:spacing w:before="156" w:beforeLines="50"/>
        <w:jc w:val="center"/>
        <w:rPr>
          <w:b/>
          <w:szCs w:val="21"/>
        </w:rPr>
      </w:pPr>
    </w:p>
    <w:p w14:paraId="46641B21">
      <w:pPr>
        <w:spacing w:before="156" w:beforeLines="50"/>
        <w:jc w:val="center"/>
        <w:rPr>
          <w:b/>
          <w:szCs w:val="21"/>
        </w:rPr>
      </w:pPr>
    </w:p>
    <w:p w14:paraId="12052BF4">
      <w:pPr>
        <w:spacing w:before="156" w:beforeLines="50"/>
        <w:jc w:val="center"/>
        <w:rPr>
          <w:b/>
          <w:szCs w:val="21"/>
        </w:rPr>
      </w:pPr>
    </w:p>
    <w:p w14:paraId="1FE1DC35">
      <w:pPr>
        <w:spacing w:before="156" w:beforeLines="50"/>
        <w:jc w:val="center"/>
        <w:rPr>
          <w:b/>
          <w:szCs w:val="21"/>
        </w:rPr>
      </w:pPr>
      <w:r>
        <w:rPr>
          <w:b/>
          <w:szCs w:val="21"/>
        </w:rPr>
        <w:drawing>
          <wp:anchor distT="0" distB="0" distL="114300" distR="114300" simplePos="0" relativeHeight="251662336" behindDoc="0" locked="0" layoutInCell="1" allowOverlap="1">
            <wp:simplePos x="0" y="0"/>
            <wp:positionH relativeFrom="column">
              <wp:posOffset>-3810</wp:posOffset>
            </wp:positionH>
            <wp:positionV relativeFrom="paragraph">
              <wp:posOffset>42545</wp:posOffset>
            </wp:positionV>
            <wp:extent cx="2500630" cy="3583305"/>
            <wp:effectExtent l="19050" t="0" r="0" b="0"/>
            <wp:wrapNone/>
            <wp:docPr id="10" name="图片 10" descr="E:\基准地价2\国有农用地\出图\113\土壤有机质含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基准地价2\国有农用地\出图\113\土壤有机质含量.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2500867" cy="3583172"/>
                    </a:xfrm>
                    <a:prstGeom prst="rect">
                      <a:avLst/>
                    </a:prstGeom>
                    <a:noFill/>
                    <a:ln>
                      <a:noFill/>
                    </a:ln>
                  </pic:spPr>
                </pic:pic>
              </a:graphicData>
            </a:graphic>
          </wp:anchor>
        </w:drawing>
      </w:r>
    </w:p>
    <w:p w14:paraId="488CBB91">
      <w:pPr>
        <w:spacing w:before="156" w:beforeLines="50"/>
        <w:jc w:val="center"/>
        <w:rPr>
          <w:b/>
          <w:szCs w:val="21"/>
        </w:rPr>
      </w:pPr>
    </w:p>
    <w:p w14:paraId="1EBB575B">
      <w:pPr>
        <w:spacing w:before="156" w:beforeLines="50"/>
        <w:jc w:val="center"/>
        <w:rPr>
          <w:b/>
          <w:szCs w:val="21"/>
        </w:rPr>
      </w:pPr>
    </w:p>
    <w:p w14:paraId="17F461AF">
      <w:pPr>
        <w:spacing w:before="156" w:beforeLines="50"/>
        <w:jc w:val="center"/>
        <w:rPr>
          <w:b/>
          <w:szCs w:val="21"/>
        </w:rPr>
      </w:pPr>
    </w:p>
    <w:p w14:paraId="1EB801D9">
      <w:pPr>
        <w:spacing w:before="156" w:beforeLines="50"/>
        <w:jc w:val="center"/>
        <w:rPr>
          <w:b/>
          <w:szCs w:val="21"/>
        </w:rPr>
      </w:pPr>
    </w:p>
    <w:p w14:paraId="38F6FF10">
      <w:pPr>
        <w:spacing w:before="156" w:beforeLines="50"/>
        <w:jc w:val="center"/>
        <w:rPr>
          <w:b/>
          <w:szCs w:val="21"/>
        </w:rPr>
      </w:pPr>
    </w:p>
    <w:p w14:paraId="79F8A680">
      <w:pPr>
        <w:spacing w:before="156" w:beforeLines="50"/>
        <w:jc w:val="center"/>
        <w:rPr>
          <w:b/>
          <w:szCs w:val="21"/>
        </w:rPr>
      </w:pPr>
    </w:p>
    <w:p w14:paraId="5B04621E">
      <w:pPr>
        <w:spacing w:before="156" w:beforeLines="50"/>
        <w:jc w:val="center"/>
        <w:rPr>
          <w:b/>
          <w:szCs w:val="21"/>
        </w:rPr>
      </w:pPr>
    </w:p>
    <w:p w14:paraId="49C21929">
      <w:pPr>
        <w:spacing w:before="156" w:beforeLines="50"/>
        <w:jc w:val="center"/>
        <w:rPr>
          <w:b/>
          <w:szCs w:val="21"/>
        </w:rPr>
      </w:pPr>
    </w:p>
    <w:p w14:paraId="6B360913">
      <w:pPr>
        <w:spacing w:before="156" w:beforeLines="50"/>
        <w:jc w:val="center"/>
        <w:rPr>
          <w:b/>
          <w:szCs w:val="21"/>
        </w:rPr>
      </w:pPr>
    </w:p>
    <w:p w14:paraId="6CBE893C">
      <w:pPr>
        <w:spacing w:before="156" w:beforeLines="50"/>
        <w:jc w:val="center"/>
        <w:rPr>
          <w:b/>
          <w:szCs w:val="21"/>
        </w:rPr>
      </w:pPr>
    </w:p>
    <w:p w14:paraId="2A86195C">
      <w:pPr>
        <w:spacing w:before="156" w:beforeLines="50"/>
        <w:jc w:val="center"/>
        <w:rPr>
          <w:b/>
          <w:szCs w:val="21"/>
        </w:rPr>
      </w:pPr>
    </w:p>
    <w:p w14:paraId="08CA579D">
      <w:pPr>
        <w:spacing w:before="93" w:beforeLines="30" w:line="384" w:lineRule="auto"/>
        <w:jc w:val="center"/>
        <w:rPr>
          <w:b/>
          <w:szCs w:val="21"/>
        </w:rPr>
      </w:pPr>
      <w:r>
        <w:rPr>
          <w:b/>
          <w:szCs w:val="21"/>
        </w:rPr>
        <w:t>图3-4土壤有机质含量作用分级别分布图</w:t>
      </w:r>
    </w:p>
    <w:p w14:paraId="224FCE18">
      <w:pPr>
        <w:spacing w:before="156" w:beforeLines="50"/>
        <w:ind w:firstLine="422"/>
        <w:jc w:val="center"/>
        <w:rPr>
          <w:b/>
          <w:szCs w:val="21"/>
        </w:rPr>
      </w:pPr>
      <w:r>
        <w:rPr>
          <w:b/>
          <w:szCs w:val="21"/>
        </w:rPr>
        <w:drawing>
          <wp:anchor distT="0" distB="0" distL="114300" distR="114300" simplePos="0" relativeHeight="251663360" behindDoc="0" locked="0" layoutInCell="1" allowOverlap="1">
            <wp:simplePos x="0" y="0"/>
            <wp:positionH relativeFrom="column">
              <wp:posOffset>-45720</wp:posOffset>
            </wp:positionH>
            <wp:positionV relativeFrom="paragraph">
              <wp:posOffset>104140</wp:posOffset>
            </wp:positionV>
            <wp:extent cx="2435225" cy="3444875"/>
            <wp:effectExtent l="19050" t="0" r="3175" b="0"/>
            <wp:wrapNone/>
            <wp:docPr id="11" name="图片 11" descr="E:\基准地价2\国有农用地\出图\113\表层土壤质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基准地价2\国有农用地\出图\113\表层土壤质地.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2435225" cy="3444875"/>
                    </a:xfrm>
                    <a:prstGeom prst="rect">
                      <a:avLst/>
                    </a:prstGeom>
                    <a:noFill/>
                    <a:ln>
                      <a:noFill/>
                    </a:ln>
                  </pic:spPr>
                </pic:pic>
              </a:graphicData>
            </a:graphic>
          </wp:anchor>
        </w:drawing>
      </w:r>
    </w:p>
    <w:p w14:paraId="20AE5DC6">
      <w:pPr>
        <w:spacing w:before="156" w:beforeLines="50"/>
        <w:rPr>
          <w:b/>
          <w:szCs w:val="21"/>
        </w:rPr>
      </w:pPr>
    </w:p>
    <w:p w14:paraId="652186CC">
      <w:pPr>
        <w:spacing w:before="156" w:beforeLines="50"/>
        <w:rPr>
          <w:b/>
          <w:szCs w:val="21"/>
        </w:rPr>
      </w:pPr>
    </w:p>
    <w:p w14:paraId="2FAC7AD4">
      <w:pPr>
        <w:spacing w:before="156" w:beforeLines="50"/>
        <w:rPr>
          <w:b/>
          <w:szCs w:val="21"/>
        </w:rPr>
      </w:pPr>
    </w:p>
    <w:p w14:paraId="027AE5F2">
      <w:pPr>
        <w:spacing w:before="156" w:beforeLines="50"/>
        <w:rPr>
          <w:b/>
          <w:szCs w:val="21"/>
        </w:rPr>
      </w:pPr>
    </w:p>
    <w:p w14:paraId="6E80EA92">
      <w:pPr>
        <w:spacing w:before="156" w:beforeLines="50"/>
        <w:rPr>
          <w:b/>
          <w:szCs w:val="21"/>
        </w:rPr>
      </w:pPr>
    </w:p>
    <w:p w14:paraId="0CC0F88C">
      <w:pPr>
        <w:spacing w:before="156" w:beforeLines="50"/>
        <w:rPr>
          <w:b/>
          <w:szCs w:val="21"/>
        </w:rPr>
      </w:pPr>
    </w:p>
    <w:p w14:paraId="1805F4AD">
      <w:pPr>
        <w:spacing w:before="156" w:beforeLines="50"/>
        <w:rPr>
          <w:b/>
          <w:szCs w:val="21"/>
        </w:rPr>
      </w:pPr>
    </w:p>
    <w:p w14:paraId="59E0FC0C">
      <w:pPr>
        <w:spacing w:before="156" w:beforeLines="50"/>
        <w:rPr>
          <w:b/>
          <w:szCs w:val="21"/>
        </w:rPr>
      </w:pPr>
    </w:p>
    <w:p w14:paraId="12F9D827">
      <w:pPr>
        <w:spacing w:before="156" w:beforeLines="50"/>
        <w:rPr>
          <w:b/>
          <w:szCs w:val="21"/>
        </w:rPr>
      </w:pPr>
    </w:p>
    <w:p w14:paraId="0362FD89">
      <w:pPr>
        <w:spacing w:before="156" w:beforeLines="50"/>
        <w:rPr>
          <w:b/>
          <w:szCs w:val="21"/>
        </w:rPr>
      </w:pPr>
    </w:p>
    <w:p w14:paraId="6908A727">
      <w:pPr>
        <w:spacing w:before="156" w:beforeLines="50"/>
        <w:rPr>
          <w:b/>
          <w:szCs w:val="21"/>
        </w:rPr>
      </w:pPr>
    </w:p>
    <w:p w14:paraId="15852040">
      <w:pPr>
        <w:spacing w:before="343" w:beforeLines="110"/>
        <w:rPr>
          <w:b/>
          <w:szCs w:val="21"/>
        </w:rPr>
      </w:pPr>
      <w:r>
        <w:rPr>
          <w:b/>
          <w:szCs w:val="21"/>
        </w:rPr>
        <w:t>图3-6表层土壤质地作用分级别分布图</w:t>
      </w:r>
    </w:p>
    <w:p w14:paraId="78C9F2D9">
      <w:pPr>
        <w:spacing w:before="156" w:beforeLines="50"/>
        <w:ind w:firstLine="420"/>
        <w:jc w:val="center"/>
      </w:pPr>
    </w:p>
    <w:p w14:paraId="21057783">
      <w:pPr>
        <w:spacing w:before="156" w:beforeLines="50"/>
        <w:ind w:firstLine="420"/>
        <w:jc w:val="center"/>
      </w:pPr>
    </w:p>
    <w:p w14:paraId="061938BC">
      <w:pPr>
        <w:spacing w:before="156" w:beforeLines="50"/>
        <w:ind w:firstLine="420"/>
      </w:pPr>
    </w:p>
    <w:p w14:paraId="26B71B81">
      <w:pPr>
        <w:spacing w:before="156" w:beforeLines="50"/>
        <w:ind w:firstLine="422"/>
        <w:jc w:val="center"/>
        <w:rPr>
          <w:b/>
          <w:szCs w:val="21"/>
        </w:rPr>
      </w:pPr>
      <w:r>
        <w:rPr>
          <w:b/>
          <w:szCs w:val="21"/>
        </w:rPr>
        <w:drawing>
          <wp:anchor distT="0" distB="0" distL="114300" distR="114300" simplePos="0" relativeHeight="251664384" behindDoc="0" locked="0" layoutInCell="1" allowOverlap="1">
            <wp:simplePos x="0" y="0"/>
            <wp:positionH relativeFrom="column">
              <wp:posOffset>41275</wp:posOffset>
            </wp:positionH>
            <wp:positionV relativeFrom="paragraph">
              <wp:posOffset>10795</wp:posOffset>
            </wp:positionV>
            <wp:extent cx="2501900" cy="3538220"/>
            <wp:effectExtent l="0" t="0" r="0" b="5080"/>
            <wp:wrapNone/>
            <wp:docPr id="12" name="图片 12" descr="E:\基准地价2\国有农用地\出图\113\土壤酸碱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基准地价2\国有农用地\出图\113\土壤酸碱度.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2501900" cy="3538422"/>
                    </a:xfrm>
                    <a:prstGeom prst="rect">
                      <a:avLst/>
                    </a:prstGeom>
                    <a:noFill/>
                    <a:ln>
                      <a:noFill/>
                    </a:ln>
                  </pic:spPr>
                </pic:pic>
              </a:graphicData>
            </a:graphic>
          </wp:anchor>
        </w:drawing>
      </w:r>
    </w:p>
    <w:p w14:paraId="56E40CC7">
      <w:pPr>
        <w:spacing w:before="156" w:beforeLines="50"/>
        <w:ind w:firstLine="422"/>
        <w:jc w:val="center"/>
        <w:rPr>
          <w:b/>
          <w:szCs w:val="21"/>
        </w:rPr>
      </w:pPr>
    </w:p>
    <w:p w14:paraId="2FB65A88">
      <w:pPr>
        <w:spacing w:before="156" w:beforeLines="50"/>
        <w:ind w:firstLine="422"/>
        <w:jc w:val="center"/>
        <w:rPr>
          <w:b/>
          <w:szCs w:val="21"/>
        </w:rPr>
      </w:pPr>
    </w:p>
    <w:p w14:paraId="5435EE11">
      <w:pPr>
        <w:spacing w:before="156" w:beforeLines="50"/>
        <w:ind w:firstLine="422"/>
        <w:jc w:val="center"/>
        <w:rPr>
          <w:b/>
          <w:szCs w:val="21"/>
        </w:rPr>
      </w:pPr>
    </w:p>
    <w:p w14:paraId="03D7DE8C">
      <w:pPr>
        <w:spacing w:before="156" w:beforeLines="50"/>
        <w:ind w:firstLine="422"/>
        <w:jc w:val="center"/>
        <w:rPr>
          <w:b/>
          <w:szCs w:val="21"/>
        </w:rPr>
      </w:pPr>
    </w:p>
    <w:p w14:paraId="4691D945">
      <w:pPr>
        <w:spacing w:before="156" w:beforeLines="50"/>
        <w:ind w:firstLine="422"/>
        <w:jc w:val="center"/>
        <w:rPr>
          <w:b/>
          <w:szCs w:val="21"/>
        </w:rPr>
      </w:pPr>
    </w:p>
    <w:p w14:paraId="0AF79CCE">
      <w:pPr>
        <w:spacing w:before="156" w:beforeLines="50"/>
        <w:ind w:firstLine="422"/>
        <w:jc w:val="center"/>
        <w:rPr>
          <w:b/>
          <w:szCs w:val="21"/>
        </w:rPr>
      </w:pPr>
    </w:p>
    <w:p w14:paraId="295305DD">
      <w:pPr>
        <w:spacing w:before="156" w:beforeLines="50"/>
        <w:ind w:firstLine="422"/>
        <w:jc w:val="center"/>
        <w:rPr>
          <w:b/>
          <w:szCs w:val="21"/>
        </w:rPr>
      </w:pPr>
    </w:p>
    <w:p w14:paraId="5DE725B8">
      <w:pPr>
        <w:spacing w:before="156" w:beforeLines="50"/>
        <w:ind w:firstLine="422"/>
        <w:jc w:val="center"/>
        <w:rPr>
          <w:b/>
          <w:szCs w:val="21"/>
        </w:rPr>
      </w:pPr>
    </w:p>
    <w:p w14:paraId="16D76D10">
      <w:pPr>
        <w:spacing w:before="156" w:beforeLines="50"/>
        <w:ind w:firstLine="422"/>
        <w:jc w:val="center"/>
        <w:rPr>
          <w:b/>
          <w:szCs w:val="21"/>
        </w:rPr>
      </w:pPr>
    </w:p>
    <w:p w14:paraId="342A6A75">
      <w:pPr>
        <w:spacing w:before="156" w:beforeLines="50"/>
        <w:ind w:firstLine="422"/>
        <w:jc w:val="center"/>
        <w:rPr>
          <w:b/>
          <w:szCs w:val="21"/>
        </w:rPr>
      </w:pPr>
    </w:p>
    <w:p w14:paraId="016B9AB0">
      <w:pPr>
        <w:spacing w:before="156" w:beforeLines="50"/>
        <w:ind w:firstLine="422"/>
        <w:jc w:val="center"/>
        <w:rPr>
          <w:b/>
          <w:szCs w:val="21"/>
        </w:rPr>
      </w:pPr>
    </w:p>
    <w:p w14:paraId="20220DC2">
      <w:pPr>
        <w:spacing w:before="156" w:beforeLines="50"/>
        <w:ind w:firstLine="422"/>
        <w:jc w:val="center"/>
      </w:pPr>
      <w:r>
        <w:rPr>
          <w:b/>
          <w:szCs w:val="21"/>
        </w:rPr>
        <w:t>图3-7土壤酸碱度作用分级别分布图</w:t>
      </w:r>
    </w:p>
    <w:p w14:paraId="690C2143">
      <w:pPr>
        <w:spacing w:before="156" w:beforeLines="50"/>
        <w:ind w:firstLine="420"/>
        <w:jc w:val="center"/>
        <w:rPr>
          <w:b/>
          <w:szCs w:val="21"/>
        </w:rPr>
      </w:pPr>
      <w:r>
        <w:rPr>
          <w:b/>
          <w:szCs w:val="21"/>
        </w:rPr>
        <w:drawing>
          <wp:anchor distT="0" distB="0" distL="114300" distR="114300" simplePos="0" relativeHeight="251665408" behindDoc="0" locked="0" layoutInCell="1" allowOverlap="1">
            <wp:simplePos x="0" y="0"/>
            <wp:positionH relativeFrom="column">
              <wp:posOffset>93980</wp:posOffset>
            </wp:positionH>
            <wp:positionV relativeFrom="paragraph">
              <wp:posOffset>53340</wp:posOffset>
            </wp:positionV>
            <wp:extent cx="2500630" cy="3529965"/>
            <wp:effectExtent l="19050" t="0" r="0" b="0"/>
            <wp:wrapNone/>
            <wp:docPr id="13" name="图片 13" descr="E:\基准地价2\国有农用地\出图\113\地下水埋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基准地价2\国有农用地\出图\113\地下水埋深.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2500866" cy="3530009"/>
                    </a:xfrm>
                    <a:prstGeom prst="rect">
                      <a:avLst/>
                    </a:prstGeom>
                    <a:noFill/>
                    <a:ln>
                      <a:noFill/>
                    </a:ln>
                  </pic:spPr>
                </pic:pic>
              </a:graphicData>
            </a:graphic>
          </wp:anchor>
        </w:drawing>
      </w:r>
    </w:p>
    <w:p w14:paraId="019EB4FD">
      <w:pPr>
        <w:spacing w:before="156" w:beforeLines="50"/>
        <w:ind w:firstLine="420"/>
        <w:jc w:val="center"/>
        <w:rPr>
          <w:b/>
          <w:szCs w:val="21"/>
        </w:rPr>
      </w:pPr>
    </w:p>
    <w:p w14:paraId="756FAD4A">
      <w:pPr>
        <w:spacing w:before="156" w:beforeLines="50"/>
        <w:ind w:firstLine="420"/>
        <w:jc w:val="center"/>
        <w:rPr>
          <w:b/>
          <w:szCs w:val="21"/>
        </w:rPr>
      </w:pPr>
    </w:p>
    <w:p w14:paraId="3176B667">
      <w:pPr>
        <w:spacing w:before="156" w:beforeLines="50"/>
        <w:ind w:firstLine="420"/>
        <w:jc w:val="center"/>
        <w:rPr>
          <w:b/>
          <w:szCs w:val="21"/>
        </w:rPr>
      </w:pPr>
    </w:p>
    <w:p w14:paraId="5FCACFEC">
      <w:pPr>
        <w:spacing w:before="156" w:beforeLines="50"/>
        <w:ind w:firstLine="420"/>
        <w:jc w:val="center"/>
        <w:rPr>
          <w:b/>
          <w:szCs w:val="21"/>
        </w:rPr>
      </w:pPr>
    </w:p>
    <w:p w14:paraId="29A71672">
      <w:pPr>
        <w:spacing w:before="156" w:beforeLines="50"/>
        <w:ind w:firstLine="420"/>
        <w:jc w:val="center"/>
        <w:rPr>
          <w:b/>
          <w:szCs w:val="21"/>
        </w:rPr>
      </w:pPr>
    </w:p>
    <w:p w14:paraId="6C220F81">
      <w:pPr>
        <w:spacing w:before="156" w:beforeLines="50"/>
        <w:ind w:firstLine="420"/>
        <w:jc w:val="center"/>
        <w:rPr>
          <w:b/>
          <w:szCs w:val="21"/>
        </w:rPr>
      </w:pPr>
    </w:p>
    <w:p w14:paraId="4B36BEE4">
      <w:pPr>
        <w:spacing w:before="156" w:beforeLines="50"/>
        <w:ind w:firstLine="420"/>
        <w:jc w:val="center"/>
        <w:rPr>
          <w:b/>
          <w:szCs w:val="21"/>
        </w:rPr>
      </w:pPr>
    </w:p>
    <w:p w14:paraId="79326B7C">
      <w:pPr>
        <w:spacing w:before="156" w:beforeLines="50"/>
        <w:ind w:firstLine="420"/>
        <w:jc w:val="center"/>
        <w:rPr>
          <w:b/>
          <w:szCs w:val="21"/>
        </w:rPr>
      </w:pPr>
    </w:p>
    <w:p w14:paraId="0386FC36">
      <w:pPr>
        <w:spacing w:before="156" w:beforeLines="50"/>
        <w:ind w:firstLine="422"/>
        <w:jc w:val="center"/>
        <w:rPr>
          <w:b/>
          <w:szCs w:val="21"/>
        </w:rPr>
      </w:pPr>
    </w:p>
    <w:p w14:paraId="681FCB8E">
      <w:pPr>
        <w:spacing w:before="156" w:beforeLines="50"/>
        <w:ind w:firstLine="422"/>
        <w:jc w:val="center"/>
        <w:rPr>
          <w:b/>
          <w:szCs w:val="21"/>
        </w:rPr>
      </w:pPr>
    </w:p>
    <w:p w14:paraId="3C7F9383">
      <w:pPr>
        <w:spacing w:before="156" w:beforeLines="50"/>
        <w:ind w:firstLine="422"/>
        <w:jc w:val="center"/>
        <w:rPr>
          <w:b/>
          <w:szCs w:val="21"/>
        </w:rPr>
      </w:pPr>
    </w:p>
    <w:p w14:paraId="582E027C">
      <w:pPr>
        <w:spacing w:before="156" w:beforeLines="50"/>
        <w:ind w:firstLine="422"/>
        <w:jc w:val="center"/>
        <w:rPr>
          <w:b/>
          <w:szCs w:val="21"/>
        </w:rPr>
      </w:pPr>
      <w:r>
        <w:rPr>
          <w:b/>
          <w:szCs w:val="21"/>
        </w:rPr>
        <w:t>图3-9地下水埋深作用分级别分布图</w:t>
      </w:r>
    </w:p>
    <w:p w14:paraId="7ADC404A">
      <w:pPr>
        <w:spacing w:before="156" w:beforeLines="50"/>
        <w:ind w:firstLine="420"/>
        <w:jc w:val="center"/>
      </w:pPr>
    </w:p>
    <w:p w14:paraId="14E5A305">
      <w:pPr>
        <w:spacing w:before="156" w:beforeLines="50"/>
        <w:ind w:firstLine="420"/>
        <w:jc w:val="center"/>
      </w:pPr>
    </w:p>
    <w:p w14:paraId="05846B45">
      <w:pPr>
        <w:spacing w:before="156" w:beforeLines="50"/>
        <w:ind w:firstLine="420"/>
        <w:jc w:val="center"/>
      </w:pPr>
    </w:p>
    <w:p w14:paraId="47C12292">
      <w:pPr>
        <w:spacing w:before="156" w:beforeLines="50"/>
        <w:ind w:firstLine="420"/>
        <w:jc w:val="center"/>
      </w:pPr>
      <w:r>
        <w:drawing>
          <wp:anchor distT="0" distB="0" distL="114300" distR="114300" simplePos="0" relativeHeight="251666432" behindDoc="0" locked="0" layoutInCell="1" allowOverlap="1">
            <wp:simplePos x="0" y="0"/>
            <wp:positionH relativeFrom="column">
              <wp:posOffset>-57150</wp:posOffset>
            </wp:positionH>
            <wp:positionV relativeFrom="paragraph">
              <wp:posOffset>205740</wp:posOffset>
            </wp:positionV>
            <wp:extent cx="2500630" cy="3529965"/>
            <wp:effectExtent l="19050" t="0" r="0" b="0"/>
            <wp:wrapNone/>
            <wp:docPr id="14" name="图片 14" descr="E:\基准地价2\国有农用地\出图\113\障碍层深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基准地价2\国有农用地\出图\113\障碍层深度.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2500866" cy="3530009"/>
                    </a:xfrm>
                    <a:prstGeom prst="rect">
                      <a:avLst/>
                    </a:prstGeom>
                    <a:noFill/>
                    <a:ln>
                      <a:noFill/>
                    </a:ln>
                  </pic:spPr>
                </pic:pic>
              </a:graphicData>
            </a:graphic>
          </wp:anchor>
        </w:drawing>
      </w:r>
    </w:p>
    <w:p w14:paraId="2E278CB3">
      <w:pPr>
        <w:spacing w:before="156" w:beforeLines="50"/>
        <w:ind w:firstLine="420"/>
        <w:jc w:val="center"/>
      </w:pPr>
    </w:p>
    <w:p w14:paraId="792FDD15">
      <w:pPr>
        <w:spacing w:before="156" w:beforeLines="50"/>
        <w:ind w:firstLine="420"/>
        <w:jc w:val="center"/>
      </w:pPr>
    </w:p>
    <w:p w14:paraId="229C5606">
      <w:pPr>
        <w:spacing w:before="156" w:beforeLines="50"/>
        <w:ind w:firstLine="420"/>
        <w:jc w:val="center"/>
      </w:pPr>
    </w:p>
    <w:p w14:paraId="2DEAEE24">
      <w:pPr>
        <w:spacing w:before="156" w:beforeLines="50"/>
        <w:ind w:firstLine="420"/>
        <w:jc w:val="center"/>
      </w:pPr>
    </w:p>
    <w:p w14:paraId="39FDB680">
      <w:pPr>
        <w:spacing w:before="156" w:beforeLines="50"/>
        <w:ind w:firstLine="420"/>
        <w:jc w:val="center"/>
      </w:pPr>
    </w:p>
    <w:p w14:paraId="36EF3A06">
      <w:pPr>
        <w:spacing w:before="156" w:beforeLines="50"/>
        <w:ind w:firstLine="420"/>
        <w:jc w:val="center"/>
      </w:pPr>
    </w:p>
    <w:p w14:paraId="49EEC938">
      <w:pPr>
        <w:spacing w:before="156" w:beforeLines="50"/>
        <w:ind w:firstLine="420"/>
        <w:jc w:val="center"/>
      </w:pPr>
    </w:p>
    <w:p w14:paraId="218902A7">
      <w:pPr>
        <w:spacing w:before="156" w:beforeLines="50"/>
        <w:ind w:firstLine="420"/>
        <w:jc w:val="center"/>
      </w:pPr>
    </w:p>
    <w:p w14:paraId="0D323F7A">
      <w:pPr>
        <w:spacing w:before="156" w:beforeLines="50"/>
        <w:ind w:firstLine="420"/>
        <w:jc w:val="center"/>
      </w:pPr>
    </w:p>
    <w:p w14:paraId="5A23133F">
      <w:pPr>
        <w:spacing w:before="156" w:beforeLines="50"/>
        <w:ind w:firstLine="420"/>
        <w:jc w:val="center"/>
      </w:pPr>
    </w:p>
    <w:p w14:paraId="52C10803">
      <w:pPr>
        <w:spacing w:before="156" w:beforeLines="50"/>
        <w:ind w:firstLine="420"/>
        <w:jc w:val="center"/>
      </w:pPr>
    </w:p>
    <w:p w14:paraId="5BD21049">
      <w:pPr>
        <w:spacing w:before="156" w:beforeLines="50"/>
        <w:ind w:firstLine="105" w:firstLineChars="50"/>
        <w:rPr>
          <w:b/>
          <w:szCs w:val="21"/>
        </w:rPr>
      </w:pPr>
    </w:p>
    <w:p w14:paraId="0A25CD24">
      <w:pPr>
        <w:spacing w:before="156" w:beforeLines="50"/>
        <w:ind w:firstLine="105" w:firstLineChars="50"/>
        <w:rPr>
          <w:b/>
          <w:szCs w:val="21"/>
        </w:rPr>
      </w:pPr>
      <w:r>
        <w:rPr>
          <w:b/>
          <w:szCs w:val="21"/>
        </w:rPr>
        <w:t>图3-8障碍层深度作用分级别分布图</w:t>
      </w:r>
    </w:p>
    <w:p w14:paraId="69BBF6AA">
      <w:pPr>
        <w:spacing w:before="156" w:beforeLines="50"/>
        <w:ind w:firstLine="420"/>
        <w:jc w:val="center"/>
        <w:rPr>
          <w:b/>
          <w:szCs w:val="21"/>
        </w:rPr>
      </w:pPr>
      <w:r>
        <w:rPr>
          <w:b/>
          <w:szCs w:val="21"/>
        </w:rPr>
        <w:drawing>
          <wp:anchor distT="0" distB="0" distL="114300" distR="114300" simplePos="0" relativeHeight="251667456" behindDoc="0" locked="0" layoutInCell="1" allowOverlap="1">
            <wp:simplePos x="0" y="0"/>
            <wp:positionH relativeFrom="column">
              <wp:posOffset>-111125</wp:posOffset>
            </wp:positionH>
            <wp:positionV relativeFrom="paragraph">
              <wp:posOffset>53340</wp:posOffset>
            </wp:positionV>
            <wp:extent cx="2500630" cy="3529965"/>
            <wp:effectExtent l="19050" t="0" r="0" b="0"/>
            <wp:wrapNone/>
            <wp:docPr id="29" name="图片 29" descr="E:\基准地价2\国有农用地\出图\农贸市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基准地价2\国有农用地\出图\农贸市场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2500630" cy="3529965"/>
                    </a:xfrm>
                    <a:prstGeom prst="rect">
                      <a:avLst/>
                    </a:prstGeom>
                    <a:noFill/>
                    <a:ln>
                      <a:noFill/>
                    </a:ln>
                  </pic:spPr>
                </pic:pic>
              </a:graphicData>
            </a:graphic>
          </wp:anchor>
        </w:drawing>
      </w:r>
    </w:p>
    <w:p w14:paraId="343E6FB8">
      <w:pPr>
        <w:spacing w:before="156" w:beforeLines="50"/>
        <w:ind w:firstLine="422"/>
        <w:jc w:val="center"/>
        <w:rPr>
          <w:b/>
          <w:szCs w:val="21"/>
        </w:rPr>
      </w:pPr>
    </w:p>
    <w:p w14:paraId="57DA11EF">
      <w:pPr>
        <w:spacing w:before="156" w:beforeLines="50"/>
        <w:ind w:firstLine="422"/>
        <w:jc w:val="center"/>
        <w:rPr>
          <w:b/>
          <w:szCs w:val="21"/>
        </w:rPr>
      </w:pPr>
    </w:p>
    <w:p w14:paraId="361AB930">
      <w:pPr>
        <w:spacing w:before="156" w:beforeLines="50"/>
        <w:ind w:firstLine="422"/>
        <w:jc w:val="center"/>
        <w:rPr>
          <w:b/>
          <w:szCs w:val="21"/>
        </w:rPr>
      </w:pPr>
    </w:p>
    <w:p w14:paraId="1FE11796">
      <w:pPr>
        <w:spacing w:before="156" w:beforeLines="50"/>
        <w:ind w:firstLine="422"/>
        <w:jc w:val="center"/>
        <w:rPr>
          <w:b/>
          <w:szCs w:val="21"/>
        </w:rPr>
      </w:pPr>
    </w:p>
    <w:p w14:paraId="2F3462E3">
      <w:pPr>
        <w:spacing w:before="156" w:beforeLines="50"/>
        <w:ind w:firstLine="422"/>
        <w:jc w:val="center"/>
        <w:rPr>
          <w:b/>
          <w:szCs w:val="21"/>
        </w:rPr>
      </w:pPr>
    </w:p>
    <w:p w14:paraId="5E396286">
      <w:pPr>
        <w:spacing w:before="156" w:beforeLines="50"/>
        <w:ind w:firstLine="422"/>
        <w:jc w:val="center"/>
        <w:rPr>
          <w:b/>
          <w:szCs w:val="21"/>
        </w:rPr>
      </w:pPr>
    </w:p>
    <w:p w14:paraId="70B10953">
      <w:pPr>
        <w:spacing w:before="156" w:beforeLines="50"/>
        <w:ind w:firstLine="422"/>
        <w:jc w:val="center"/>
        <w:rPr>
          <w:b/>
          <w:szCs w:val="21"/>
        </w:rPr>
      </w:pPr>
    </w:p>
    <w:p w14:paraId="162EC817">
      <w:pPr>
        <w:spacing w:before="156" w:beforeLines="50"/>
        <w:ind w:firstLine="422"/>
        <w:jc w:val="center"/>
        <w:rPr>
          <w:b/>
          <w:szCs w:val="21"/>
        </w:rPr>
      </w:pPr>
    </w:p>
    <w:p w14:paraId="46B63E1E">
      <w:pPr>
        <w:spacing w:before="156" w:beforeLines="50"/>
        <w:ind w:firstLine="422"/>
        <w:jc w:val="center"/>
        <w:rPr>
          <w:b/>
          <w:szCs w:val="21"/>
        </w:rPr>
      </w:pPr>
    </w:p>
    <w:p w14:paraId="40FD5B4B">
      <w:pPr>
        <w:spacing w:before="156" w:beforeLines="50"/>
        <w:ind w:firstLine="422"/>
        <w:jc w:val="center"/>
        <w:rPr>
          <w:b/>
          <w:szCs w:val="21"/>
        </w:rPr>
      </w:pPr>
    </w:p>
    <w:p w14:paraId="399D1E0A">
      <w:pPr>
        <w:spacing w:before="156" w:beforeLines="50"/>
        <w:ind w:firstLine="422"/>
        <w:jc w:val="center"/>
        <w:rPr>
          <w:b/>
          <w:szCs w:val="21"/>
        </w:rPr>
      </w:pPr>
    </w:p>
    <w:p w14:paraId="7D6E7B31">
      <w:pPr>
        <w:spacing w:before="156" w:beforeLines="50"/>
        <w:ind w:firstLine="211" w:firstLineChars="100"/>
        <w:rPr>
          <w:b/>
          <w:szCs w:val="21"/>
        </w:rPr>
      </w:pPr>
      <w:r>
        <w:rPr>
          <w:b/>
          <w:szCs w:val="21"/>
        </w:rPr>
        <w:t>图3-10农贸市场作用分级别分布图</w:t>
      </w:r>
    </w:p>
    <w:p w14:paraId="0A3EDA29">
      <w:pPr>
        <w:spacing w:before="156" w:beforeLines="50"/>
        <w:ind w:firstLine="422"/>
        <w:jc w:val="center"/>
        <w:rPr>
          <w:b/>
          <w:szCs w:val="21"/>
        </w:rPr>
      </w:pPr>
    </w:p>
    <w:p w14:paraId="4C1982B3">
      <w:pPr>
        <w:spacing w:before="156" w:beforeLines="50"/>
        <w:rPr>
          <w:b/>
          <w:szCs w:val="21"/>
        </w:rPr>
      </w:pPr>
    </w:p>
    <w:p w14:paraId="0BF6D2F0">
      <w:pPr>
        <w:spacing w:before="156" w:beforeLines="50"/>
        <w:ind w:firstLine="422"/>
        <w:jc w:val="center"/>
        <w:sectPr>
          <w:type w:val="continuous"/>
          <w:pgSz w:w="11906" w:h="16838"/>
          <w:pgMar w:top="1440" w:right="1800" w:bottom="1440" w:left="1800" w:header="851" w:footer="992" w:gutter="0"/>
          <w:cols w:space="425" w:num="2"/>
          <w:docGrid w:type="lines" w:linePitch="312" w:charSpace="0"/>
        </w:sectPr>
      </w:pPr>
    </w:p>
    <w:p w14:paraId="7A9AC354">
      <w:pPr>
        <w:pStyle w:val="4"/>
        <w:widowControl w:val="0"/>
        <w:tabs>
          <w:tab w:val="left" w:pos="720"/>
        </w:tabs>
        <w:spacing w:before="120" w:after="120" w:line="500" w:lineRule="exact"/>
        <w:ind w:left="826" w:hanging="826"/>
        <w:jc w:val="both"/>
        <w:rPr>
          <w:rFonts w:ascii="宋体" w:hAnsi="宋体"/>
          <w:sz w:val="24"/>
          <w:szCs w:val="24"/>
        </w:rPr>
      </w:pPr>
      <w:bookmarkStart w:id="162" w:name="_Toc535399933"/>
      <w:bookmarkStart w:id="163" w:name="_Toc532729884"/>
      <w:bookmarkStart w:id="164" w:name="_Toc534833356"/>
      <w:bookmarkStart w:id="165" w:name="_Toc47384623"/>
      <w:r>
        <w:rPr>
          <w:rFonts w:hint="eastAsia" w:ascii="宋体" w:hAnsi="宋体"/>
          <w:sz w:val="24"/>
          <w:szCs w:val="24"/>
        </w:rPr>
        <w:t>3</w:t>
      </w:r>
      <w:r>
        <w:rPr>
          <w:rFonts w:ascii="宋体" w:hAnsi="宋体"/>
          <w:sz w:val="24"/>
          <w:szCs w:val="24"/>
        </w:rPr>
        <w:t>.4.5 障碍物影响处理</w:t>
      </w:r>
      <w:bookmarkEnd w:id="162"/>
      <w:bookmarkEnd w:id="163"/>
      <w:bookmarkEnd w:id="164"/>
      <w:bookmarkEnd w:id="165"/>
    </w:p>
    <w:p w14:paraId="2F8D263E">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计算点状因子作用分值时，其距离计算一般采用空间直线距离，即点状因子对评价单元的影响大小是随着距点状定级因子距离增加而成线性衰减的，它忽略了点状定级因子与评价单元之间的可通达性，如自然地物（山地、河流、湖泊等）和人文地物（建筑物、铁路、高速公路等）的阻隔影响。</w:t>
      </w:r>
    </w:p>
    <w:p w14:paraId="0B376F8B">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按照《规程》的有关规定，当因素作用分衰减遇到不可直接跨越的障碍时，则作用分衰减就以可通行处为结点，按结点处的因素作用分及剩余的影响半径，再次进行衰减。</w:t>
      </w:r>
    </w:p>
    <w:p w14:paraId="20018A7D">
      <w:pPr>
        <w:pStyle w:val="4"/>
        <w:widowControl w:val="0"/>
        <w:tabs>
          <w:tab w:val="left" w:pos="720"/>
        </w:tabs>
        <w:spacing w:before="120" w:after="120" w:line="500" w:lineRule="exact"/>
        <w:ind w:left="826" w:hanging="826"/>
        <w:jc w:val="both"/>
        <w:rPr>
          <w:rFonts w:ascii="宋体" w:hAnsi="宋体"/>
          <w:sz w:val="24"/>
          <w:szCs w:val="24"/>
        </w:rPr>
      </w:pPr>
      <w:bookmarkStart w:id="166" w:name="_Toc47384624"/>
      <w:bookmarkStart w:id="167" w:name="_Toc532729885"/>
      <w:bookmarkStart w:id="168" w:name="_Toc534833357"/>
      <w:bookmarkStart w:id="169" w:name="_Toc535399934"/>
      <w:r>
        <w:rPr>
          <w:rFonts w:hint="eastAsia" w:ascii="宋体" w:hAnsi="宋体"/>
          <w:sz w:val="24"/>
          <w:szCs w:val="24"/>
        </w:rPr>
        <w:t>3</w:t>
      </w:r>
      <w:r>
        <w:rPr>
          <w:rFonts w:ascii="宋体" w:hAnsi="宋体"/>
          <w:sz w:val="24"/>
          <w:szCs w:val="24"/>
        </w:rPr>
        <w:t>.4.6 定级单元总分值计算</w:t>
      </w:r>
      <w:bookmarkEnd w:id="166"/>
      <w:bookmarkEnd w:id="167"/>
      <w:bookmarkEnd w:id="168"/>
      <w:bookmarkEnd w:id="169"/>
    </w:p>
    <w:p w14:paraId="705B6734">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国有农用地定级单元总分值大小反映土地级别的高低，单元总分值计算公式为：</w:t>
      </w:r>
    </w:p>
    <w:p w14:paraId="0DE58F21">
      <w:pPr>
        <w:pStyle w:val="12"/>
        <w:adjustRightInd w:val="0"/>
        <w:snapToGrid w:val="0"/>
        <w:spacing w:line="300" w:lineRule="auto"/>
        <w:jc w:val="center"/>
        <w:rPr>
          <w:rFonts w:ascii="Times New Roman" w:hAnsi="Times New Roman" w:cs="Times New Roman"/>
        </w:rPr>
      </w:pPr>
      <w:r>
        <w:rPr>
          <w:rFonts w:ascii="Times New Roman" w:hAnsi="Times New Roman" w:cs="Times New Roman"/>
        </w:rPr>
        <w:drawing>
          <wp:inline distT="0" distB="0" distL="0" distR="0">
            <wp:extent cx="990600" cy="431800"/>
            <wp:effectExtent l="0" t="0" r="0"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990600" cy="431800"/>
                    </a:xfrm>
                    <a:prstGeom prst="rect">
                      <a:avLst/>
                    </a:prstGeom>
                    <a:noFill/>
                    <a:ln>
                      <a:noFill/>
                    </a:ln>
                  </pic:spPr>
                </pic:pic>
              </a:graphicData>
            </a:graphic>
          </wp:inline>
        </w:drawing>
      </w:r>
    </w:p>
    <w:p w14:paraId="4DA4B258">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式中：S</w:t>
      </w:r>
      <w:r>
        <w:rPr>
          <w:rFonts w:ascii="Times New Roman" w:hAnsi="Times New Roman" w:cs="Times New Roman"/>
          <w:sz w:val="24"/>
          <w:vertAlign w:val="subscript"/>
        </w:rPr>
        <w:t>f</w:t>
      </w:r>
      <w:r>
        <w:rPr>
          <w:rFonts w:ascii="Times New Roman" w:hAnsi="Times New Roman" w:cs="Times New Roman"/>
          <w:sz w:val="24"/>
        </w:rPr>
        <w:t xml:space="preserve">  ─ 单元的总分值</w:t>
      </w:r>
    </w:p>
    <w:p w14:paraId="1D79C6B3">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 xml:space="preserve">      k  ─ 定级因素（因子）数目</w:t>
      </w:r>
    </w:p>
    <w:p w14:paraId="485ADC52">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 xml:space="preserve">      p</w:t>
      </w:r>
      <w:r>
        <w:rPr>
          <w:rFonts w:ascii="Times New Roman" w:hAnsi="Times New Roman" w:cs="Times New Roman"/>
          <w:sz w:val="24"/>
          <w:vertAlign w:val="subscript"/>
        </w:rPr>
        <w:t>k</w:t>
      </w:r>
      <w:r>
        <w:rPr>
          <w:rFonts w:ascii="Times New Roman" w:hAnsi="Times New Roman" w:cs="Times New Roman"/>
          <w:sz w:val="24"/>
        </w:rPr>
        <w:t xml:space="preserve"> ─ 各定级因素对单元的作用分</w:t>
      </w:r>
    </w:p>
    <w:p w14:paraId="01C603CF">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 xml:space="preserve">      f</w:t>
      </w:r>
      <w:r>
        <w:rPr>
          <w:rFonts w:ascii="Times New Roman" w:hAnsi="Times New Roman" w:cs="Times New Roman"/>
          <w:sz w:val="24"/>
          <w:vertAlign w:val="subscript"/>
        </w:rPr>
        <w:t>k</w:t>
      </w:r>
      <w:r>
        <w:rPr>
          <w:rFonts w:ascii="Times New Roman" w:hAnsi="Times New Roman" w:cs="Times New Roman"/>
          <w:sz w:val="24"/>
        </w:rPr>
        <w:t xml:space="preserve"> ─ 各定级因素权重</w:t>
      </w:r>
    </w:p>
    <w:p w14:paraId="50C74D36">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根据以上公式和各评价因子的权重，结合ArcGIS和土地定级及基准地价动态更新系统，计算获取</w:t>
      </w:r>
      <w:r>
        <w:rPr>
          <w:rFonts w:ascii="宋体" w:hAnsi="宋体"/>
          <w:sz w:val="24"/>
          <w:szCs w:val="24"/>
        </w:rPr>
        <w:t>国有农用地</w:t>
      </w:r>
      <w:r>
        <w:rPr>
          <w:rFonts w:ascii="Times New Roman" w:hAnsi="Times New Roman" w:cs="Times New Roman"/>
          <w:sz w:val="24"/>
        </w:rPr>
        <w:t>单元因素分值，把计算得到不同用地类型各评价单元的因素总分值作为划分各类用地级别的基本依据。</w:t>
      </w:r>
    </w:p>
    <w:p w14:paraId="67DD6EDC">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170" w:name="_Toc532729886"/>
      <w:bookmarkStart w:id="171" w:name="_Toc47384625"/>
      <w:r>
        <w:rPr>
          <w:rFonts w:hint="eastAsia" w:ascii="宋体" w:hAnsi="宋体"/>
          <w:bCs/>
          <w:kern w:val="2"/>
          <w:szCs w:val="28"/>
        </w:rPr>
        <w:t>3</w:t>
      </w:r>
      <w:r>
        <w:rPr>
          <w:rFonts w:ascii="宋体" w:hAnsi="宋体"/>
          <w:bCs/>
          <w:kern w:val="2"/>
          <w:szCs w:val="28"/>
        </w:rPr>
        <w:t>.5 各类用地级别初步划分</w:t>
      </w:r>
      <w:bookmarkEnd w:id="170"/>
      <w:bookmarkEnd w:id="171"/>
    </w:p>
    <w:p w14:paraId="5AF3AE9C">
      <w:pPr>
        <w:pStyle w:val="4"/>
        <w:widowControl w:val="0"/>
        <w:tabs>
          <w:tab w:val="left" w:pos="720"/>
        </w:tabs>
        <w:spacing w:before="120" w:after="120" w:line="500" w:lineRule="exact"/>
        <w:ind w:left="826" w:hanging="826"/>
        <w:jc w:val="both"/>
        <w:rPr>
          <w:rFonts w:ascii="宋体" w:hAnsi="宋体"/>
          <w:sz w:val="24"/>
          <w:szCs w:val="24"/>
        </w:rPr>
      </w:pPr>
      <w:bookmarkStart w:id="172" w:name="_Toc535399936"/>
      <w:bookmarkStart w:id="173" w:name="_Toc534833359"/>
      <w:bookmarkStart w:id="174" w:name="_Toc532729887"/>
      <w:bookmarkStart w:id="175" w:name="_Toc47384626"/>
      <w:r>
        <w:rPr>
          <w:rFonts w:hint="eastAsia" w:ascii="宋体" w:hAnsi="宋体"/>
          <w:sz w:val="24"/>
          <w:szCs w:val="24"/>
        </w:rPr>
        <w:t>3</w:t>
      </w:r>
      <w:r>
        <w:rPr>
          <w:rFonts w:ascii="宋体" w:hAnsi="宋体"/>
          <w:sz w:val="24"/>
          <w:szCs w:val="24"/>
        </w:rPr>
        <w:t>.5.1 土地级别确定的原则</w:t>
      </w:r>
      <w:bookmarkEnd w:id="172"/>
      <w:bookmarkEnd w:id="173"/>
      <w:bookmarkEnd w:id="174"/>
      <w:bookmarkEnd w:id="175"/>
    </w:p>
    <w:p w14:paraId="30311708">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根据土地定级基本原则，为了保证定级成果合理性、实用性，鄂州市国有农用地土地级别划分遵循如下原则：</w:t>
      </w:r>
    </w:p>
    <w:p w14:paraId="2D27A538">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（1）土地级别的高低和土地相对优劣的对应关系基本一致；</w:t>
      </w:r>
    </w:p>
    <w:p w14:paraId="2CF8929E">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（2）级别之间过渡应该是连续的、渐变的，相邻单元之间土地级差不宜过大；</w:t>
      </w:r>
    </w:p>
    <w:p w14:paraId="0DB56511">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（3）级别边界尽量采用地域突变特征的自然和人工界线，尽量保持自然地块的完整性。</w:t>
      </w:r>
    </w:p>
    <w:p w14:paraId="1C53E751">
      <w:pPr>
        <w:pStyle w:val="4"/>
        <w:widowControl w:val="0"/>
        <w:tabs>
          <w:tab w:val="left" w:pos="720"/>
        </w:tabs>
        <w:spacing w:before="120" w:after="120" w:line="500" w:lineRule="exact"/>
        <w:ind w:left="826" w:hanging="826"/>
        <w:jc w:val="both"/>
        <w:rPr>
          <w:rFonts w:ascii="宋体" w:hAnsi="宋体"/>
          <w:sz w:val="24"/>
          <w:szCs w:val="24"/>
        </w:rPr>
      </w:pPr>
      <w:bookmarkStart w:id="176" w:name="_Toc534833360"/>
      <w:bookmarkStart w:id="177" w:name="_Toc47384627"/>
      <w:bookmarkStart w:id="178" w:name="_Toc532729888"/>
      <w:bookmarkStart w:id="179" w:name="_Toc535399937"/>
      <w:r>
        <w:rPr>
          <w:rFonts w:hint="eastAsia" w:ascii="宋体" w:hAnsi="宋体"/>
          <w:sz w:val="24"/>
          <w:szCs w:val="24"/>
        </w:rPr>
        <w:t>3</w:t>
      </w:r>
      <w:r>
        <w:rPr>
          <w:rFonts w:ascii="宋体" w:hAnsi="宋体"/>
          <w:sz w:val="24"/>
          <w:szCs w:val="24"/>
        </w:rPr>
        <w:t>.5.2 级别总分值界限确定</w:t>
      </w:r>
      <w:bookmarkEnd w:id="176"/>
      <w:bookmarkEnd w:id="177"/>
      <w:bookmarkEnd w:id="178"/>
      <w:bookmarkEnd w:id="179"/>
    </w:p>
    <w:p w14:paraId="2D75143C">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土地级别划分的方法有总分数轴确定法、总分频率曲线法、总分剖面图法三种。本轮定级选取第二种方法，根据定级软件生成的定级总分频率图的分布情况，取频率图中总分值分段数目突变处（图形的波谷处）作为土地级别的分值界限，划分国有农用地定级土地级别，并计算各级别内网格作用分值平均值作为级别平均分值。鄂州市国有农用地耕地类型的级别作用分值频率直方图如</w:t>
      </w:r>
      <w:r>
        <w:rPr>
          <w:rFonts w:hint="eastAsia" w:ascii="Times New Roman" w:hAnsi="Times New Roman" w:cs="Times New Roman"/>
          <w:sz w:val="24"/>
        </w:rPr>
        <w:t>表3</w:t>
      </w:r>
      <w:r>
        <w:rPr>
          <w:rFonts w:ascii="Times New Roman" w:hAnsi="Times New Roman" w:cs="Times New Roman"/>
          <w:sz w:val="24"/>
        </w:rPr>
        <w:t>-</w:t>
      </w:r>
      <w:r>
        <w:rPr>
          <w:rFonts w:hint="eastAsia" w:ascii="Times New Roman" w:hAnsi="Times New Roman" w:cs="Times New Roman"/>
          <w:sz w:val="24"/>
        </w:rPr>
        <w:t>11</w:t>
      </w:r>
      <w:r>
        <w:rPr>
          <w:rFonts w:ascii="Times New Roman" w:hAnsi="Times New Roman" w:cs="Times New Roman"/>
          <w:sz w:val="24"/>
        </w:rPr>
        <w:t>所示。</w:t>
      </w:r>
    </w:p>
    <w:p w14:paraId="21603F6C">
      <w:pPr>
        <w:pStyle w:val="12"/>
        <w:ind w:firstLine="422"/>
        <w:jc w:val="center"/>
        <w:rPr>
          <w:rFonts w:ascii="Times New Roman" w:hAnsi="Times New Roman" w:cs="Times New Roman"/>
          <w:b/>
          <w:szCs w:val="21"/>
        </w:rPr>
      </w:pPr>
      <w:r>
        <w:rPr>
          <w:rFonts w:ascii="Times New Roman" w:hAnsi="Times New Roman" w:cs="Times New Roman"/>
          <w:b/>
          <w:szCs w:val="21"/>
        </w:rPr>
        <w:t>表3-24土地级别与总分对照表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6"/>
        <w:gridCol w:w="2154"/>
        <w:gridCol w:w="2426"/>
      </w:tblGrid>
      <w:tr w14:paraId="356C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716" w:type="dxa"/>
            <w:vAlign w:val="center"/>
          </w:tcPr>
          <w:p w14:paraId="5E709372">
            <w:pPr>
              <w:ind w:firstLine="422"/>
              <w:jc w:val="center"/>
              <w:rPr>
                <w:b/>
                <w:color w:val="000000"/>
                <w:kern w:val="0"/>
                <w:szCs w:val="21"/>
              </w:rPr>
            </w:pPr>
            <w:r>
              <w:rPr>
                <w:b/>
                <w:color w:val="000000"/>
                <w:kern w:val="0"/>
                <w:szCs w:val="21"/>
              </w:rPr>
              <w:t>土地级别</w:t>
            </w:r>
          </w:p>
        </w:tc>
        <w:tc>
          <w:tcPr>
            <w:tcW w:w="2154" w:type="dxa"/>
            <w:vAlign w:val="center"/>
          </w:tcPr>
          <w:p w14:paraId="7DCDA558">
            <w:pPr>
              <w:ind w:firstLine="422"/>
              <w:jc w:val="center"/>
              <w:rPr>
                <w:b/>
                <w:bCs/>
                <w:color w:val="000000"/>
                <w:kern w:val="0"/>
                <w:szCs w:val="21"/>
              </w:rPr>
            </w:pPr>
            <w:r>
              <w:rPr>
                <w:rFonts w:hint="eastAsia" w:ascii="宋体" w:hAnsi="宋体" w:cs="宋体"/>
                <w:b/>
                <w:bCs/>
                <w:color w:val="000000"/>
                <w:kern w:val="0"/>
                <w:szCs w:val="21"/>
              </w:rPr>
              <w:t>Ⅰ</w:t>
            </w:r>
          </w:p>
        </w:tc>
        <w:tc>
          <w:tcPr>
            <w:tcW w:w="2426" w:type="dxa"/>
            <w:vAlign w:val="center"/>
          </w:tcPr>
          <w:p w14:paraId="37F2216D">
            <w:pPr>
              <w:ind w:firstLine="422"/>
              <w:jc w:val="center"/>
              <w:rPr>
                <w:b/>
                <w:bCs/>
                <w:color w:val="000000"/>
                <w:kern w:val="0"/>
                <w:szCs w:val="21"/>
              </w:rPr>
            </w:pPr>
            <w:r>
              <w:rPr>
                <w:rFonts w:hint="eastAsia" w:ascii="宋体" w:hAnsi="宋体" w:cs="宋体"/>
                <w:b/>
                <w:bCs/>
                <w:color w:val="000000"/>
                <w:kern w:val="0"/>
                <w:szCs w:val="21"/>
              </w:rPr>
              <w:t>Ⅱ</w:t>
            </w:r>
          </w:p>
        </w:tc>
      </w:tr>
      <w:tr w14:paraId="6024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716" w:type="dxa"/>
            <w:vAlign w:val="center"/>
          </w:tcPr>
          <w:p w14:paraId="0692B1A0">
            <w:pPr>
              <w:ind w:firstLine="420"/>
              <w:jc w:val="center"/>
              <w:rPr>
                <w:color w:val="000000"/>
                <w:kern w:val="0"/>
                <w:szCs w:val="21"/>
              </w:rPr>
            </w:pPr>
            <w:r>
              <w:rPr>
                <w:color w:val="000000"/>
                <w:kern w:val="0"/>
                <w:szCs w:val="21"/>
              </w:rPr>
              <w:t>国有农用地</w:t>
            </w:r>
          </w:p>
        </w:tc>
        <w:tc>
          <w:tcPr>
            <w:tcW w:w="2154" w:type="dxa"/>
            <w:noWrap/>
            <w:vAlign w:val="center"/>
          </w:tcPr>
          <w:p w14:paraId="691AFF91">
            <w:pPr>
              <w:ind w:firstLine="420"/>
              <w:jc w:val="center"/>
              <w:rPr>
                <w:color w:val="000000"/>
                <w:kern w:val="0"/>
                <w:szCs w:val="21"/>
              </w:rPr>
            </w:pPr>
            <w:r>
              <w:rPr>
                <w:color w:val="000000"/>
                <w:kern w:val="0"/>
                <w:szCs w:val="21"/>
              </w:rPr>
              <w:t>(47,100]</w:t>
            </w:r>
          </w:p>
        </w:tc>
        <w:tc>
          <w:tcPr>
            <w:tcW w:w="2426" w:type="dxa"/>
            <w:noWrap/>
            <w:vAlign w:val="center"/>
          </w:tcPr>
          <w:p w14:paraId="7B00A319">
            <w:pPr>
              <w:ind w:firstLine="420"/>
              <w:jc w:val="center"/>
              <w:rPr>
                <w:color w:val="000000"/>
                <w:kern w:val="0"/>
                <w:szCs w:val="21"/>
              </w:rPr>
            </w:pPr>
            <w:r>
              <w:rPr>
                <w:color w:val="000000"/>
                <w:kern w:val="0"/>
                <w:szCs w:val="21"/>
              </w:rPr>
              <w:t>(0,47]</w:t>
            </w:r>
          </w:p>
        </w:tc>
      </w:tr>
    </w:tbl>
    <w:p w14:paraId="539210CA">
      <w:pPr>
        <w:spacing w:before="156" w:beforeLines="50"/>
        <w:ind w:firstLine="422"/>
        <w:jc w:val="center"/>
        <w:rPr>
          <w:b/>
          <w:szCs w:val="21"/>
        </w:rPr>
      </w:pPr>
      <w:r>
        <w:rPr>
          <w:b/>
          <w:szCs w:val="21"/>
        </w:rPr>
        <mc:AlternateContent>
          <mc:Choice Requires="wpg">
            <w:drawing>
              <wp:anchor distT="0" distB="0" distL="114300" distR="114300" simplePos="0" relativeHeight="251668480" behindDoc="0" locked="0" layoutInCell="1" allowOverlap="1">
                <wp:simplePos x="0" y="0"/>
                <wp:positionH relativeFrom="column">
                  <wp:posOffset>12065</wp:posOffset>
                </wp:positionH>
                <wp:positionV relativeFrom="paragraph">
                  <wp:posOffset>173990</wp:posOffset>
                </wp:positionV>
                <wp:extent cx="5274310" cy="3239135"/>
                <wp:effectExtent l="0" t="0" r="2540" b="18415"/>
                <wp:wrapNone/>
                <wp:docPr id="39" name="组合 39"/>
                <wp:cNvGraphicFramePr/>
                <a:graphic xmlns:a="http://schemas.openxmlformats.org/drawingml/2006/main">
                  <a:graphicData uri="http://schemas.microsoft.com/office/word/2010/wordprocessingGroup">
                    <wpg:wgp>
                      <wpg:cNvGrpSpPr/>
                      <wpg:grpSpPr>
                        <a:xfrm>
                          <a:off x="0" y="0"/>
                          <a:ext cx="5274310" cy="3239135"/>
                          <a:chOff x="0" y="0"/>
                          <a:chExt cx="5274310" cy="3239135"/>
                        </a:xfrm>
                        <a:effectLst/>
                      </wpg:grpSpPr>
                      <pic:pic xmlns:pic="http://schemas.openxmlformats.org/drawingml/2006/picture">
                        <pic:nvPicPr>
                          <pic:cNvPr id="30" name="图片 30" descr="E:\基准地价2\国有农用地\出图\TIM截图20181120193001 - 副本.png"/>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a:xfrm>
                            <a:off x="0" y="0"/>
                            <a:ext cx="5274310" cy="3239135"/>
                          </a:xfrm>
                          <a:prstGeom prst="rect">
                            <a:avLst/>
                          </a:prstGeom>
                          <a:noFill/>
                          <a:ln>
                            <a:noFill/>
                          </a:ln>
                          <a:effectLst/>
                        </pic:spPr>
                      </pic:pic>
                      <wps:wsp>
                        <wps:cNvPr id="38" name="直接连接符 38"/>
                        <wps:cNvCnPr/>
                        <wps:spPr>
                          <a:xfrm flipV="1">
                            <a:off x="3100754" y="504092"/>
                            <a:ext cx="0" cy="2490788"/>
                          </a:xfrm>
                          <a:prstGeom prst="line">
                            <a:avLst/>
                          </a:prstGeom>
                          <a:noFill/>
                          <a:ln w="6350" cap="flat" cmpd="sng" algn="ctr">
                            <a:solidFill>
                              <a:srgbClr val="FF0000"/>
                            </a:solidFill>
                            <a:prstDash val="sysDash"/>
                            <a:miter lim="800000"/>
                          </a:ln>
                          <a:effectLst/>
                        </wps:spPr>
                        <wps:bodyPr/>
                      </wps:wsp>
                    </wpg:wgp>
                  </a:graphicData>
                </a:graphic>
              </wp:anchor>
            </w:drawing>
          </mc:Choice>
          <mc:Fallback>
            <w:pict>
              <v:group id="_x0000_s1026" o:spid="_x0000_s1026" o:spt="203" style="position:absolute;left:0pt;margin-left:0.95pt;margin-top:13.7pt;height:255.05pt;width:415.3pt;z-index:251668480;mso-width-relative:page;mso-height-relative:page;" coordsize="5274310,3239135" o:gfxdata="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">
                <o:lock v:ext="edit" aspectratio="f"/>
                <v:shape id="_x0000_s1026" o:spid="_x0000_s1026" o:spt="75" alt="E:\基准地价2\国有农用地\出图\TIM截图20181120193001 - 副本.png" type="#_x0000_t75" style="position:absolute;left:0;top:0;height:3239135;width:5274310;" filled="f" o:preferrelative="t" stroked="f" coordsize="21600,21600" o:gfxdata="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7sYmugAAANsA&#10;AAAPAAAAAAAAAAEAIAAAACIAAABkcnMvZG93bnJldi54bWxQSwECFAAUAAAACACHTuJAMy8FnjsA&#10;AAA5AAAAEAAAAAAAAAABACAAAAAJAQAAZHJzL3NoYXBleG1sLnhtbFBLBQYAAAAABgAGAFsBAACz&#10;AwAAAAA=&#10;">
                  <v:fill on="f" focussize="0,0"/>
                  <v:stroke on="f"/>
                  <v:imagedata r:id="rId79" o:title=""/>
                  <o:lock v:ext="edit" aspectratio="t"/>
                </v:shape>
                <v:line id="_x0000_s1026" o:spid="_x0000_s1026" o:spt="20" style="position:absolute;left:3100754;top:504092;flip:y;height:2490788;width:0;" filled="f" stroked="t" coordsize="21600,21600" o:gfxdata="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C/e3C2AAAA2wAAAA8A&#10;AAAAAAAAAQAgAAAAIgAAAGRycy9kb3ducmV2LnhtbFBLAQIUABQAAAAIAIdO4kAzLwWeOwAAADkA&#10;AAAQAAAAAAAAAAEAIAAAAAUBAABkcnMvc2hhcGV4bWwueG1sUEsFBgAAAAAGAAYAWwEAAK8DAAAA&#10;AA==&#10;">
                  <v:fill on="f" focussize="0,0"/>
                  <v:stroke weight="0.5pt" color="#FF0000" miterlimit="8" joinstyle="miter" dashstyle="3 1"/>
                  <v:imagedata o:title=""/>
                  <o:lock v:ext="edit" aspectratio="f"/>
                </v:line>
              </v:group>
            </w:pict>
          </mc:Fallback>
        </mc:AlternateContent>
      </w:r>
    </w:p>
    <w:p w14:paraId="4779428C">
      <w:pPr>
        <w:spacing w:before="156" w:beforeLines="50"/>
        <w:ind w:firstLine="422"/>
        <w:jc w:val="center"/>
        <w:rPr>
          <w:b/>
          <w:szCs w:val="21"/>
        </w:rPr>
      </w:pPr>
    </w:p>
    <w:p w14:paraId="746DACB3">
      <w:pPr>
        <w:spacing w:before="156" w:beforeLines="50"/>
        <w:ind w:firstLine="422"/>
        <w:jc w:val="center"/>
        <w:rPr>
          <w:b/>
          <w:szCs w:val="21"/>
        </w:rPr>
      </w:pPr>
    </w:p>
    <w:p w14:paraId="6B69CAA2">
      <w:pPr>
        <w:spacing w:before="156" w:beforeLines="50"/>
        <w:ind w:firstLine="422"/>
        <w:jc w:val="center"/>
        <w:rPr>
          <w:b/>
          <w:szCs w:val="21"/>
        </w:rPr>
      </w:pPr>
    </w:p>
    <w:p w14:paraId="4A2226C1">
      <w:pPr>
        <w:spacing w:before="156" w:beforeLines="50"/>
        <w:ind w:firstLine="422"/>
        <w:jc w:val="center"/>
        <w:rPr>
          <w:b/>
          <w:szCs w:val="21"/>
        </w:rPr>
      </w:pPr>
    </w:p>
    <w:p w14:paraId="533F80CC">
      <w:pPr>
        <w:spacing w:before="156" w:beforeLines="50"/>
        <w:ind w:firstLine="422"/>
        <w:jc w:val="center"/>
        <w:rPr>
          <w:b/>
          <w:szCs w:val="21"/>
        </w:rPr>
      </w:pPr>
    </w:p>
    <w:p w14:paraId="0922C9BE">
      <w:pPr>
        <w:spacing w:before="156" w:beforeLines="50"/>
        <w:ind w:firstLine="422"/>
        <w:jc w:val="center"/>
        <w:rPr>
          <w:b/>
          <w:szCs w:val="21"/>
        </w:rPr>
      </w:pPr>
    </w:p>
    <w:p w14:paraId="43D5A580">
      <w:pPr>
        <w:spacing w:before="156" w:beforeLines="50"/>
        <w:ind w:firstLine="422"/>
        <w:jc w:val="center"/>
        <w:rPr>
          <w:b/>
          <w:szCs w:val="21"/>
        </w:rPr>
      </w:pPr>
    </w:p>
    <w:p w14:paraId="63AAFE39">
      <w:pPr>
        <w:spacing w:before="156" w:beforeLines="50"/>
        <w:ind w:firstLine="422"/>
        <w:jc w:val="center"/>
        <w:rPr>
          <w:b/>
          <w:szCs w:val="21"/>
        </w:rPr>
      </w:pPr>
    </w:p>
    <w:p w14:paraId="2F5D5D54">
      <w:pPr>
        <w:spacing w:before="156" w:beforeLines="50"/>
        <w:ind w:firstLine="422"/>
        <w:jc w:val="center"/>
        <w:rPr>
          <w:b/>
          <w:szCs w:val="21"/>
        </w:rPr>
      </w:pPr>
    </w:p>
    <w:p w14:paraId="4F4B0CEB">
      <w:pPr>
        <w:spacing w:before="156" w:beforeLines="50"/>
        <w:ind w:firstLine="422"/>
        <w:jc w:val="center"/>
        <w:rPr>
          <w:b/>
          <w:szCs w:val="21"/>
        </w:rPr>
      </w:pPr>
    </w:p>
    <w:p w14:paraId="644970B6">
      <w:pPr>
        <w:spacing w:before="156" w:beforeLines="50"/>
        <w:ind w:firstLine="422"/>
        <w:jc w:val="center"/>
        <w:rPr>
          <w:b/>
          <w:szCs w:val="21"/>
        </w:rPr>
      </w:pPr>
    </w:p>
    <w:p w14:paraId="37A030B7">
      <w:pPr>
        <w:spacing w:before="156" w:beforeLines="50"/>
        <w:ind w:firstLine="422"/>
        <w:jc w:val="center"/>
        <w:rPr>
          <w:b/>
          <w:szCs w:val="21"/>
        </w:rPr>
      </w:pPr>
      <w:r>
        <w:rPr>
          <w:b/>
          <w:szCs w:val="21"/>
        </w:rPr>
        <w:t>图3-11国有农用地定级总分值频率及级别划分区间图</w:t>
      </w:r>
    </w:p>
    <w:p w14:paraId="6CFA15B6">
      <w:pPr>
        <w:pStyle w:val="4"/>
        <w:widowControl w:val="0"/>
        <w:tabs>
          <w:tab w:val="left" w:pos="720"/>
        </w:tabs>
        <w:spacing w:before="120" w:after="120" w:line="500" w:lineRule="exact"/>
        <w:ind w:left="826" w:hanging="826"/>
        <w:jc w:val="both"/>
        <w:rPr>
          <w:rFonts w:ascii="宋体" w:hAnsi="宋体"/>
          <w:sz w:val="24"/>
          <w:szCs w:val="24"/>
        </w:rPr>
      </w:pPr>
      <w:bookmarkStart w:id="180" w:name="_Toc47384628"/>
      <w:bookmarkStart w:id="181" w:name="_Toc532729889"/>
      <w:bookmarkStart w:id="182" w:name="_Toc535399938"/>
      <w:bookmarkStart w:id="183" w:name="_Toc534833361"/>
      <w:r>
        <w:rPr>
          <w:rFonts w:hint="eastAsia" w:ascii="宋体" w:hAnsi="宋体"/>
          <w:sz w:val="24"/>
          <w:szCs w:val="24"/>
        </w:rPr>
        <w:t>3</w:t>
      </w:r>
      <w:r>
        <w:rPr>
          <w:rFonts w:ascii="宋体" w:hAnsi="宋体"/>
          <w:sz w:val="24"/>
          <w:szCs w:val="24"/>
        </w:rPr>
        <w:t>.5.3 土地级别边界的初步确定</w:t>
      </w:r>
      <w:bookmarkEnd w:id="180"/>
      <w:bookmarkEnd w:id="181"/>
      <w:bookmarkEnd w:id="182"/>
      <w:bookmarkEnd w:id="183"/>
    </w:p>
    <w:p w14:paraId="6588E013">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根据鄂州市国有农用地的分布情况，在征求</w:t>
      </w:r>
      <w:r>
        <w:rPr>
          <w:rFonts w:hint="eastAsia" w:ascii="Times New Roman" w:hAnsi="Times New Roman" w:cs="Times New Roman"/>
          <w:sz w:val="24"/>
        </w:rPr>
        <w:t>各部门</w:t>
      </w:r>
      <w:r>
        <w:rPr>
          <w:rFonts w:ascii="Times New Roman" w:hAnsi="Times New Roman" w:cs="Times New Roman"/>
          <w:sz w:val="24"/>
        </w:rPr>
        <w:t>专家的意见基础上，确定对鄂州市国有农用地评估范围的用地进行级别划分。共分为2个级别。</w:t>
      </w:r>
    </w:p>
    <w:p w14:paraId="6EC0E909">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184" w:name="_Toc532729890"/>
      <w:bookmarkStart w:id="185" w:name="_Toc47384629"/>
      <w:r>
        <w:rPr>
          <w:rFonts w:hint="eastAsia" w:ascii="宋体" w:hAnsi="宋体"/>
          <w:bCs/>
          <w:kern w:val="2"/>
          <w:szCs w:val="28"/>
        </w:rPr>
        <w:t>3</w:t>
      </w:r>
      <w:r>
        <w:rPr>
          <w:rFonts w:ascii="宋体" w:hAnsi="宋体"/>
          <w:bCs/>
          <w:kern w:val="2"/>
          <w:szCs w:val="28"/>
        </w:rPr>
        <w:t>.6 土地级别检验</w:t>
      </w:r>
      <w:bookmarkEnd w:id="184"/>
      <w:bookmarkEnd w:id="185"/>
    </w:p>
    <w:p w14:paraId="5EAC3DD0">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采用多因素综合评定法初步确定的土地级别，从土地区位方面反映了土地质量的差异，为了体现级别划分的合理性、客观性，从经济上真实反映土地质量之间的差异，则需要通过市场交易价格来验证土地级别划分的合理性。</w:t>
      </w:r>
    </w:p>
    <w:p w14:paraId="76A7C0DA">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根据《农用地定级规程》（GB/T28405-2012）规定，完成土地初步定级后应对初步划分的耕地级别进行校验，校验定级单元划分的合理性、定级因素选取的准确性、定级结果计算的正确性。可用土地级差收益方法，对各用地类型间的级别收益进行验证，是否存在明显的正极差收益。</w:t>
      </w:r>
    </w:p>
    <w:p w14:paraId="68B118D2">
      <w:pPr>
        <w:pStyle w:val="12"/>
        <w:spacing w:line="500" w:lineRule="exact"/>
        <w:ind w:firstLine="480" w:firstLineChars="200"/>
        <w:rPr>
          <w:rFonts w:ascii="Times New Roman" w:hAnsi="Times New Roman" w:cs="Times New Roman"/>
          <w:sz w:val="24"/>
        </w:rPr>
      </w:pPr>
      <w:r>
        <w:rPr>
          <w:rFonts w:hint="eastAsia" w:ascii="Times New Roman" w:hAnsi="Times New Roman" w:cs="Times New Roman"/>
          <w:sz w:val="24"/>
        </w:rPr>
        <w:t>根据</w:t>
      </w:r>
      <w:r>
        <w:rPr>
          <w:rFonts w:ascii="Times New Roman" w:hAnsi="Times New Roman" w:cs="Times New Roman"/>
          <w:sz w:val="24"/>
        </w:rPr>
        <w:t>鄂州市国有农用地中的市场交易样点资料测算的样点地价结果来验证土地级别的合理性。统计得出国有农用地级别与级别内样点均价对应关系如下表。</w:t>
      </w:r>
    </w:p>
    <w:p w14:paraId="20011787">
      <w:pPr>
        <w:spacing w:before="156" w:beforeLines="50"/>
        <w:ind w:firstLine="420"/>
        <w:jc w:val="center"/>
        <w:rPr>
          <w:b/>
          <w:szCs w:val="18"/>
        </w:rPr>
      </w:pPr>
      <w:r>
        <w:rPr>
          <w:b/>
          <w:szCs w:val="18"/>
        </w:rPr>
        <w:t>表3-25国有农用地级别与土地流转样点均价对应关系表</w:t>
      </w:r>
    </w:p>
    <w:p w14:paraId="3242F007">
      <w:pPr>
        <w:ind w:firstLine="422"/>
        <w:jc w:val="right"/>
        <w:rPr>
          <w:b/>
          <w:szCs w:val="18"/>
        </w:rPr>
      </w:pPr>
      <w:r>
        <w:rPr>
          <w:b/>
          <w:szCs w:val="18"/>
        </w:rPr>
        <w:t>单位：元/亩</w:t>
      </w:r>
    </w:p>
    <w:tbl>
      <w:tblPr>
        <w:tblStyle w:val="3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7"/>
        <w:gridCol w:w="2296"/>
        <w:gridCol w:w="2933"/>
      </w:tblGrid>
      <w:tr w14:paraId="0947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67" w:type="dxa"/>
            <w:vAlign w:val="center"/>
          </w:tcPr>
          <w:p w14:paraId="1995D1EE">
            <w:pPr>
              <w:jc w:val="center"/>
              <w:rPr>
                <w:b/>
                <w:kern w:val="0"/>
                <w:szCs w:val="18"/>
              </w:rPr>
            </w:pPr>
            <w:r>
              <w:rPr>
                <w:b/>
                <w:kern w:val="0"/>
                <w:szCs w:val="18"/>
              </w:rPr>
              <w:t>土地级别</w:t>
            </w:r>
          </w:p>
        </w:tc>
        <w:tc>
          <w:tcPr>
            <w:tcW w:w="2296" w:type="dxa"/>
            <w:vAlign w:val="center"/>
          </w:tcPr>
          <w:p w14:paraId="409C909D">
            <w:pPr>
              <w:jc w:val="center"/>
              <w:rPr>
                <w:b/>
                <w:kern w:val="0"/>
                <w:szCs w:val="18"/>
              </w:rPr>
            </w:pPr>
            <w:r>
              <w:rPr>
                <w:rFonts w:hint="eastAsia" w:ascii="宋体" w:hAnsi="宋体" w:cs="宋体"/>
                <w:b/>
                <w:kern w:val="0"/>
                <w:szCs w:val="18"/>
              </w:rPr>
              <w:t>Ⅰ</w:t>
            </w:r>
          </w:p>
        </w:tc>
        <w:tc>
          <w:tcPr>
            <w:tcW w:w="2933" w:type="dxa"/>
            <w:vAlign w:val="center"/>
          </w:tcPr>
          <w:p w14:paraId="3D83B9E7">
            <w:pPr>
              <w:jc w:val="center"/>
              <w:rPr>
                <w:b/>
                <w:kern w:val="0"/>
                <w:szCs w:val="18"/>
              </w:rPr>
            </w:pPr>
            <w:r>
              <w:rPr>
                <w:b/>
                <w:kern w:val="0"/>
                <w:szCs w:val="18"/>
              </w:rPr>
              <w:t>II</w:t>
            </w:r>
          </w:p>
        </w:tc>
      </w:tr>
      <w:tr w14:paraId="40B4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67" w:type="dxa"/>
            <w:vAlign w:val="center"/>
          </w:tcPr>
          <w:p w14:paraId="2AE91210">
            <w:pPr>
              <w:jc w:val="center"/>
              <w:rPr>
                <w:kern w:val="0"/>
                <w:szCs w:val="18"/>
              </w:rPr>
            </w:pPr>
            <w:r>
              <w:rPr>
                <w:rFonts w:ascii="宋体" w:hAnsi="宋体"/>
                <w:sz w:val="24"/>
              </w:rPr>
              <w:t>国有农用地</w:t>
            </w:r>
            <w:r>
              <w:rPr>
                <w:kern w:val="0"/>
                <w:szCs w:val="18"/>
              </w:rPr>
              <w:t>流转价格</w:t>
            </w:r>
          </w:p>
        </w:tc>
        <w:tc>
          <w:tcPr>
            <w:tcW w:w="2296" w:type="dxa"/>
            <w:vAlign w:val="center"/>
          </w:tcPr>
          <w:p w14:paraId="70C290DB">
            <w:pPr>
              <w:jc w:val="center"/>
              <w:rPr>
                <w:color w:val="000000"/>
                <w:kern w:val="0"/>
                <w:sz w:val="22"/>
              </w:rPr>
            </w:pPr>
            <w:r>
              <w:rPr>
                <w:color w:val="000000"/>
                <w:sz w:val="22"/>
              </w:rPr>
              <w:t>610</w:t>
            </w:r>
          </w:p>
        </w:tc>
        <w:tc>
          <w:tcPr>
            <w:tcW w:w="2933" w:type="dxa"/>
            <w:vAlign w:val="center"/>
          </w:tcPr>
          <w:p w14:paraId="398F4D23">
            <w:pPr>
              <w:jc w:val="center"/>
              <w:rPr>
                <w:color w:val="000000"/>
                <w:sz w:val="22"/>
              </w:rPr>
            </w:pPr>
            <w:r>
              <w:rPr>
                <w:color w:val="000000"/>
                <w:sz w:val="22"/>
              </w:rPr>
              <w:t>450</w:t>
            </w:r>
          </w:p>
        </w:tc>
      </w:tr>
    </w:tbl>
    <w:p w14:paraId="2013AC6C">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从上述分析可以看出，国有农用地级别级差收益明显，不仅在区位条件方面反映了土地质量的差异，而且也从经济效益方面反映了土地质量的差异，说明鄂州市国有农用地级别划分是合理的。</w:t>
      </w:r>
    </w:p>
    <w:p w14:paraId="48BCD664">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186" w:name="_Toc47384630"/>
      <w:bookmarkStart w:id="187" w:name="_Toc532729898"/>
      <w:r>
        <w:rPr>
          <w:rFonts w:hint="eastAsia" w:ascii="宋体" w:hAnsi="宋体"/>
          <w:bCs/>
          <w:kern w:val="2"/>
          <w:szCs w:val="28"/>
        </w:rPr>
        <w:t>3</w:t>
      </w:r>
      <w:r>
        <w:rPr>
          <w:rFonts w:ascii="宋体" w:hAnsi="宋体"/>
          <w:bCs/>
          <w:kern w:val="2"/>
          <w:szCs w:val="28"/>
        </w:rPr>
        <w:t>.</w:t>
      </w:r>
      <w:r>
        <w:rPr>
          <w:rFonts w:hint="eastAsia" w:ascii="宋体" w:hAnsi="宋体"/>
          <w:bCs/>
          <w:kern w:val="2"/>
          <w:szCs w:val="28"/>
        </w:rPr>
        <w:t xml:space="preserve">7 </w:t>
      </w:r>
      <w:r>
        <w:rPr>
          <w:rFonts w:ascii="宋体" w:hAnsi="宋体"/>
          <w:bCs/>
          <w:kern w:val="2"/>
          <w:szCs w:val="28"/>
        </w:rPr>
        <w:t>国有农用地级别面积统计</w:t>
      </w:r>
      <w:bookmarkEnd w:id="186"/>
      <w:bookmarkEnd w:id="187"/>
    </w:p>
    <w:p w14:paraId="4979E40D">
      <w:pPr>
        <w:pStyle w:val="12"/>
        <w:spacing w:line="500" w:lineRule="exact"/>
        <w:ind w:firstLine="480" w:firstLineChars="200"/>
        <w:rPr>
          <w:rFonts w:ascii="Times New Roman" w:hAnsi="Times New Roman" w:cs="Times New Roman"/>
          <w:sz w:val="24"/>
        </w:rPr>
      </w:pPr>
      <w:r>
        <w:rPr>
          <w:rFonts w:ascii="Times New Roman" w:hAnsi="Times New Roman" w:cs="Times New Roman"/>
          <w:sz w:val="24"/>
        </w:rPr>
        <w:t>通过对各级别评价单元的面积统计，国有农用地各级别的面积结果见表3-26。</w:t>
      </w:r>
    </w:p>
    <w:p w14:paraId="51B76450">
      <w:pPr>
        <w:ind w:firstLine="422"/>
        <w:jc w:val="center"/>
        <w:rPr>
          <w:b/>
          <w:szCs w:val="21"/>
        </w:rPr>
      </w:pPr>
      <w:r>
        <w:rPr>
          <w:b/>
          <w:szCs w:val="21"/>
        </w:rPr>
        <w:t>表3-26鄂州市国有农用地用地级别面积比例图统计表</w:t>
      </w:r>
    </w:p>
    <w:tbl>
      <w:tblPr>
        <w:tblStyle w:val="3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2074"/>
        <w:gridCol w:w="2074"/>
      </w:tblGrid>
      <w:tr w14:paraId="5B65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074" w:type="dxa"/>
            <w:vAlign w:val="center"/>
          </w:tcPr>
          <w:p w14:paraId="57A30551"/>
        </w:tc>
        <w:tc>
          <w:tcPr>
            <w:tcW w:w="2074" w:type="dxa"/>
            <w:vAlign w:val="center"/>
          </w:tcPr>
          <w:p w14:paraId="7F412F90">
            <w:pPr>
              <w:jc w:val="center"/>
              <w:rPr>
                <w:color w:val="000000"/>
                <w:sz w:val="22"/>
              </w:rPr>
            </w:pPr>
            <w:r>
              <w:rPr>
                <w:color w:val="000000"/>
                <w:sz w:val="22"/>
              </w:rPr>
              <w:t>一级</w:t>
            </w:r>
          </w:p>
        </w:tc>
        <w:tc>
          <w:tcPr>
            <w:tcW w:w="2074" w:type="dxa"/>
            <w:vAlign w:val="center"/>
          </w:tcPr>
          <w:p w14:paraId="6F9596F7">
            <w:pPr>
              <w:jc w:val="center"/>
              <w:rPr>
                <w:color w:val="000000"/>
                <w:sz w:val="22"/>
              </w:rPr>
            </w:pPr>
            <w:r>
              <w:rPr>
                <w:color w:val="000000"/>
                <w:sz w:val="22"/>
              </w:rPr>
              <w:t>二级</w:t>
            </w:r>
          </w:p>
        </w:tc>
        <w:tc>
          <w:tcPr>
            <w:tcW w:w="2074" w:type="dxa"/>
            <w:vAlign w:val="center"/>
          </w:tcPr>
          <w:p w14:paraId="78006BD8">
            <w:pPr>
              <w:jc w:val="center"/>
              <w:rPr>
                <w:color w:val="000000"/>
                <w:sz w:val="22"/>
              </w:rPr>
            </w:pPr>
            <w:r>
              <w:rPr>
                <w:color w:val="000000"/>
                <w:sz w:val="22"/>
              </w:rPr>
              <w:t>总计</w:t>
            </w:r>
          </w:p>
        </w:tc>
      </w:tr>
      <w:tr w14:paraId="6FBC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3F9C34CD">
            <w:pPr>
              <w:jc w:val="center"/>
              <w:rPr>
                <w:color w:val="000000"/>
                <w:sz w:val="22"/>
              </w:rPr>
            </w:pPr>
            <w:r>
              <w:rPr>
                <w:color w:val="000000"/>
                <w:sz w:val="22"/>
              </w:rPr>
              <w:t>面积</w:t>
            </w:r>
            <w:r>
              <w:rPr>
                <w:rFonts w:hint="eastAsia"/>
                <w:color w:val="000000"/>
                <w:sz w:val="22"/>
              </w:rPr>
              <w:t>（公顷）</w:t>
            </w:r>
          </w:p>
        </w:tc>
        <w:tc>
          <w:tcPr>
            <w:tcW w:w="2074" w:type="dxa"/>
            <w:vAlign w:val="center"/>
          </w:tcPr>
          <w:p w14:paraId="342ADB18">
            <w:pPr>
              <w:jc w:val="center"/>
              <w:rPr>
                <w:color w:val="000000"/>
                <w:sz w:val="22"/>
              </w:rPr>
            </w:pPr>
            <w:r>
              <w:rPr>
                <w:color w:val="000000"/>
                <w:sz w:val="22"/>
              </w:rPr>
              <w:t>1745.45</w:t>
            </w:r>
          </w:p>
        </w:tc>
        <w:tc>
          <w:tcPr>
            <w:tcW w:w="2074" w:type="dxa"/>
            <w:vAlign w:val="center"/>
          </w:tcPr>
          <w:p w14:paraId="7CAE74A4">
            <w:pPr>
              <w:jc w:val="center"/>
              <w:rPr>
                <w:color w:val="000000"/>
                <w:sz w:val="22"/>
              </w:rPr>
            </w:pPr>
            <w:r>
              <w:rPr>
                <w:color w:val="000000"/>
                <w:sz w:val="22"/>
              </w:rPr>
              <w:t>491.51</w:t>
            </w:r>
          </w:p>
        </w:tc>
        <w:tc>
          <w:tcPr>
            <w:tcW w:w="2074" w:type="dxa"/>
            <w:vAlign w:val="center"/>
          </w:tcPr>
          <w:p w14:paraId="148B24FE">
            <w:pPr>
              <w:jc w:val="center"/>
              <w:rPr>
                <w:color w:val="000000"/>
                <w:sz w:val="22"/>
              </w:rPr>
            </w:pPr>
            <w:r>
              <w:rPr>
                <w:color w:val="000000"/>
                <w:sz w:val="22"/>
              </w:rPr>
              <w:t>2236.96</w:t>
            </w:r>
          </w:p>
        </w:tc>
      </w:tr>
      <w:tr w14:paraId="2B86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4BE7BA88">
            <w:pPr>
              <w:jc w:val="center"/>
              <w:rPr>
                <w:color w:val="000000"/>
                <w:sz w:val="22"/>
              </w:rPr>
            </w:pPr>
            <w:r>
              <w:rPr>
                <w:color w:val="000000"/>
                <w:sz w:val="22"/>
              </w:rPr>
              <w:t>比例</w:t>
            </w:r>
          </w:p>
        </w:tc>
        <w:tc>
          <w:tcPr>
            <w:tcW w:w="2074" w:type="dxa"/>
            <w:vAlign w:val="center"/>
          </w:tcPr>
          <w:p w14:paraId="5C140649">
            <w:pPr>
              <w:jc w:val="center"/>
              <w:rPr>
                <w:color w:val="000000"/>
                <w:sz w:val="22"/>
              </w:rPr>
            </w:pPr>
            <w:r>
              <w:rPr>
                <w:color w:val="000000"/>
                <w:sz w:val="22"/>
              </w:rPr>
              <w:t>78.03%</w:t>
            </w:r>
          </w:p>
        </w:tc>
        <w:tc>
          <w:tcPr>
            <w:tcW w:w="2074" w:type="dxa"/>
            <w:vAlign w:val="center"/>
          </w:tcPr>
          <w:p w14:paraId="4CAAB841">
            <w:pPr>
              <w:jc w:val="center"/>
              <w:rPr>
                <w:color w:val="000000"/>
                <w:sz w:val="22"/>
              </w:rPr>
            </w:pPr>
            <w:r>
              <w:rPr>
                <w:color w:val="000000"/>
                <w:sz w:val="22"/>
              </w:rPr>
              <w:t>21.97%</w:t>
            </w:r>
          </w:p>
        </w:tc>
        <w:tc>
          <w:tcPr>
            <w:tcW w:w="2074" w:type="dxa"/>
            <w:vAlign w:val="center"/>
          </w:tcPr>
          <w:p w14:paraId="60529FCA">
            <w:pPr>
              <w:jc w:val="center"/>
              <w:rPr>
                <w:color w:val="000000"/>
                <w:sz w:val="22"/>
              </w:rPr>
            </w:pPr>
            <w:r>
              <w:rPr>
                <w:color w:val="000000"/>
                <w:sz w:val="22"/>
              </w:rPr>
              <w:t>100%</w:t>
            </w:r>
          </w:p>
        </w:tc>
      </w:tr>
    </w:tbl>
    <w:p w14:paraId="5D5C9400">
      <w:pPr>
        <w:pStyle w:val="2"/>
        <w:keepNext w:val="0"/>
        <w:keepLines w:val="0"/>
        <w:pageBreakBefore/>
        <w:widowControl w:val="0"/>
        <w:tabs>
          <w:tab w:val="left" w:pos="1440"/>
        </w:tabs>
        <w:spacing w:after="240" w:line="360" w:lineRule="auto"/>
        <w:ind w:left="578" w:hanging="578" w:hangingChars="192"/>
        <w:jc w:val="center"/>
        <w:rPr>
          <w:rFonts w:ascii="黑体" w:hAnsi="黑体" w:eastAsia="黑体"/>
          <w:sz w:val="30"/>
          <w:szCs w:val="30"/>
        </w:rPr>
      </w:pPr>
      <w:bookmarkStart w:id="188" w:name="_Toc534983049"/>
      <w:bookmarkStart w:id="189" w:name="_Toc47384631"/>
      <w:r>
        <w:rPr>
          <w:rFonts w:ascii="黑体" w:hAnsi="黑体" w:eastAsia="黑体"/>
          <w:sz w:val="30"/>
          <w:szCs w:val="30"/>
        </w:rPr>
        <w:t>第四章 国有农用地基准地价评估</w:t>
      </w:r>
      <w:bookmarkEnd w:id="188"/>
      <w:bookmarkEnd w:id="189"/>
    </w:p>
    <w:p w14:paraId="21B5FADA">
      <w:pPr>
        <w:pStyle w:val="63"/>
        <w:spacing w:line="500" w:lineRule="exact"/>
        <w:ind w:firstLine="480"/>
        <w:rPr>
          <w:sz w:val="24"/>
        </w:rPr>
      </w:pPr>
      <w:r>
        <w:rPr>
          <w:rFonts w:ascii="宋体" w:hAnsi="宋体"/>
          <w:sz w:val="24"/>
        </w:rPr>
        <w:t>国有农用地</w:t>
      </w:r>
      <w:r>
        <w:rPr>
          <w:sz w:val="24"/>
        </w:rPr>
        <w:t>基准地价是指市（县）政府根据</w:t>
      </w:r>
      <w:r>
        <w:rPr>
          <w:rFonts w:ascii="宋体" w:hAnsi="宋体"/>
          <w:sz w:val="24"/>
        </w:rPr>
        <w:t>国有农用地</w:t>
      </w:r>
      <w:r>
        <w:rPr>
          <w:sz w:val="24"/>
        </w:rPr>
        <w:t>不同级别或不同均值区域，按照不同土地利用类型，分别评估确定的某一估价期日的平均价格。</w:t>
      </w:r>
      <w:r>
        <w:rPr>
          <w:rFonts w:ascii="宋体" w:hAnsi="宋体"/>
          <w:sz w:val="24"/>
        </w:rPr>
        <w:t>国有农用地</w:t>
      </w:r>
      <w:r>
        <w:rPr>
          <w:sz w:val="24"/>
        </w:rPr>
        <w:t>基准地价反映的是一个区域不同级别的</w:t>
      </w:r>
      <w:r>
        <w:rPr>
          <w:rFonts w:hint="eastAsia"/>
          <w:sz w:val="24"/>
        </w:rPr>
        <w:t>农用地</w:t>
      </w:r>
      <w:r>
        <w:rPr>
          <w:sz w:val="24"/>
        </w:rPr>
        <w:t>在收益状况上的差异</w:t>
      </w:r>
      <w:r>
        <w:rPr>
          <w:rFonts w:hint="eastAsia"/>
          <w:sz w:val="24"/>
        </w:rPr>
        <w:t>，</w:t>
      </w:r>
      <w:r>
        <w:rPr>
          <w:sz w:val="24"/>
        </w:rPr>
        <w:t>是各级别</w:t>
      </w:r>
      <w:r>
        <w:rPr>
          <w:rFonts w:hint="eastAsia"/>
          <w:sz w:val="24"/>
        </w:rPr>
        <w:t>农用地</w:t>
      </w:r>
      <w:r>
        <w:rPr>
          <w:sz w:val="24"/>
        </w:rPr>
        <w:t>在现时条件下所产生的经济效益的价值表现，而不是某一地块的具体价格。</w:t>
      </w:r>
    </w:p>
    <w:p w14:paraId="3E92E983">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190" w:name="_Toc534983050"/>
      <w:bookmarkStart w:id="191" w:name="_Toc47384632"/>
      <w:r>
        <w:rPr>
          <w:rFonts w:hint="eastAsia" w:ascii="宋体" w:hAnsi="宋体"/>
          <w:bCs/>
          <w:kern w:val="2"/>
          <w:szCs w:val="28"/>
        </w:rPr>
        <w:t>4</w:t>
      </w:r>
      <w:r>
        <w:rPr>
          <w:rFonts w:ascii="宋体" w:hAnsi="宋体"/>
          <w:bCs/>
          <w:kern w:val="2"/>
          <w:szCs w:val="28"/>
        </w:rPr>
        <w:t>.1 国有农用地基准地价内涵</w:t>
      </w:r>
      <w:bookmarkEnd w:id="190"/>
      <w:bookmarkEnd w:id="191"/>
    </w:p>
    <w:p w14:paraId="28FA4BA6">
      <w:pPr>
        <w:spacing w:line="500" w:lineRule="exact"/>
        <w:ind w:firstLine="480" w:firstLineChars="200"/>
        <w:rPr>
          <w:sz w:val="24"/>
          <w:szCs w:val="21"/>
        </w:rPr>
      </w:pPr>
      <w:r>
        <w:rPr>
          <w:sz w:val="24"/>
          <w:szCs w:val="21"/>
        </w:rPr>
        <w:t>根据《省国土资源厅办公室&lt;关于印发公示地价体系建设方案的通知&gt;》（鄂土资办函〔2018〕84号）要求，以《农用地估价规程》（GB/T 28406-2012）为指导，结合鄂州市实际情况，对估价基准日、土地使用权类型、土地出让年期、用地类型、基本设施状况等基准地价内涵做如下解释。</w:t>
      </w:r>
    </w:p>
    <w:p w14:paraId="05AC832E">
      <w:pPr>
        <w:spacing w:line="500" w:lineRule="exact"/>
        <w:ind w:firstLine="480" w:firstLineChars="200"/>
        <w:rPr>
          <w:sz w:val="24"/>
          <w:szCs w:val="21"/>
        </w:rPr>
      </w:pPr>
      <w:r>
        <w:rPr>
          <w:sz w:val="24"/>
          <w:szCs w:val="21"/>
        </w:rPr>
        <w:t>1）估价基准日：2018年6月30日；</w:t>
      </w:r>
    </w:p>
    <w:p w14:paraId="3AADD132">
      <w:pPr>
        <w:spacing w:line="500" w:lineRule="exact"/>
        <w:ind w:firstLine="480" w:firstLineChars="200"/>
        <w:rPr>
          <w:sz w:val="24"/>
          <w:szCs w:val="21"/>
        </w:rPr>
      </w:pPr>
      <w:r>
        <w:rPr>
          <w:sz w:val="24"/>
          <w:szCs w:val="21"/>
        </w:rPr>
        <w:t>2）土地使用权类型：国有农用地使用权；</w:t>
      </w:r>
    </w:p>
    <w:p w14:paraId="65F9698D">
      <w:pPr>
        <w:spacing w:line="500" w:lineRule="exact"/>
        <w:ind w:firstLine="480" w:firstLineChars="200"/>
        <w:rPr>
          <w:sz w:val="24"/>
          <w:szCs w:val="21"/>
        </w:rPr>
      </w:pPr>
      <w:r>
        <w:rPr>
          <w:sz w:val="24"/>
          <w:szCs w:val="21"/>
        </w:rPr>
        <w:t>3）土地出让年期：最高出让年期设定为30年；</w:t>
      </w:r>
    </w:p>
    <w:p w14:paraId="227AECB4">
      <w:pPr>
        <w:spacing w:line="500" w:lineRule="exact"/>
        <w:ind w:firstLine="480" w:firstLineChars="200"/>
        <w:rPr>
          <w:sz w:val="24"/>
          <w:szCs w:val="21"/>
        </w:rPr>
      </w:pPr>
      <w:r>
        <w:rPr>
          <w:sz w:val="24"/>
          <w:szCs w:val="21"/>
        </w:rPr>
        <w:t>4）用地类型：包括鄂州市行政区内现有国有农用地，主要为耕地；</w:t>
      </w:r>
    </w:p>
    <w:p w14:paraId="193E99BF">
      <w:pPr>
        <w:spacing w:line="500" w:lineRule="exact"/>
        <w:ind w:firstLine="480" w:firstLineChars="200"/>
        <w:rPr>
          <w:sz w:val="24"/>
          <w:szCs w:val="21"/>
        </w:rPr>
      </w:pPr>
      <w:r>
        <w:rPr>
          <w:sz w:val="24"/>
          <w:szCs w:val="21"/>
        </w:rPr>
        <w:t>5）基本设施状况：按照各用地类型各级别或各均质区域的</w:t>
      </w:r>
      <w:r>
        <w:rPr>
          <w:rFonts w:ascii="宋体" w:hAnsi="宋体"/>
          <w:sz w:val="24"/>
        </w:rPr>
        <w:t>国有农用地</w:t>
      </w:r>
      <w:r>
        <w:rPr>
          <w:sz w:val="24"/>
          <w:szCs w:val="21"/>
        </w:rPr>
        <w:t>基本设施的平均状况确定。</w:t>
      </w:r>
    </w:p>
    <w:p w14:paraId="4BC1AEBA">
      <w:pPr>
        <w:ind w:firstLine="422"/>
        <w:jc w:val="center"/>
        <w:rPr>
          <w:b/>
          <w:szCs w:val="21"/>
        </w:rPr>
      </w:pPr>
      <w:r>
        <w:rPr>
          <w:b/>
          <w:szCs w:val="21"/>
        </w:rPr>
        <w:t xml:space="preserve">表4-1 </w:t>
      </w:r>
      <w:r>
        <w:rPr>
          <w:rFonts w:ascii="宋体" w:hAnsi="宋体"/>
          <w:b/>
          <w:szCs w:val="21"/>
        </w:rPr>
        <w:t>国有农用地</w:t>
      </w:r>
      <w:r>
        <w:rPr>
          <w:b/>
          <w:szCs w:val="21"/>
        </w:rPr>
        <w:t>基准地价内涵一览表</w:t>
      </w:r>
    </w:p>
    <w:tbl>
      <w:tblPr>
        <w:tblStyle w:val="39"/>
        <w:tblW w:w="8296" w:type="dxa"/>
        <w:jc w:val="center"/>
        <w:tblLayout w:type="fixed"/>
        <w:tblCellMar>
          <w:top w:w="0" w:type="dxa"/>
          <w:left w:w="108" w:type="dxa"/>
          <w:bottom w:w="0" w:type="dxa"/>
          <w:right w:w="108" w:type="dxa"/>
        </w:tblCellMar>
      </w:tblPr>
      <w:tblGrid>
        <w:gridCol w:w="704"/>
        <w:gridCol w:w="1276"/>
        <w:gridCol w:w="1984"/>
        <w:gridCol w:w="993"/>
        <w:gridCol w:w="3339"/>
      </w:tblGrid>
      <w:tr w14:paraId="588B9727">
        <w:tblPrEx>
          <w:tblCellMar>
            <w:top w:w="0" w:type="dxa"/>
            <w:left w:w="108" w:type="dxa"/>
            <w:bottom w:w="0" w:type="dxa"/>
            <w:right w:w="108" w:type="dxa"/>
          </w:tblCellMar>
        </w:tblPrEx>
        <w:trPr>
          <w:trHeight w:val="392" w:hRule="atLeast"/>
          <w:jc w:val="center"/>
        </w:trPr>
        <w:tc>
          <w:tcPr>
            <w:tcW w:w="704" w:type="dxa"/>
            <w:tcBorders>
              <w:top w:val="single" w:color="000000" w:sz="4" w:space="0"/>
              <w:left w:val="single" w:color="000000" w:sz="4" w:space="0"/>
              <w:bottom w:val="nil"/>
              <w:right w:val="single" w:color="000000" w:sz="4" w:space="0"/>
            </w:tcBorders>
            <w:shd w:val="clear" w:color="auto" w:fill="FFFFFF"/>
            <w:vAlign w:val="center"/>
          </w:tcPr>
          <w:p w14:paraId="28DD91D4">
            <w:pPr>
              <w:jc w:val="center"/>
            </w:pPr>
            <w:r>
              <w:t>用途</w:t>
            </w:r>
          </w:p>
        </w:tc>
        <w:tc>
          <w:tcPr>
            <w:tcW w:w="1276" w:type="dxa"/>
            <w:tcBorders>
              <w:top w:val="single" w:color="000000" w:sz="4" w:space="0"/>
              <w:left w:val="nil"/>
              <w:bottom w:val="nil"/>
              <w:right w:val="single" w:color="000000" w:sz="4" w:space="0"/>
            </w:tcBorders>
            <w:shd w:val="clear" w:color="auto" w:fill="FFFFFF"/>
            <w:vAlign w:val="center"/>
          </w:tcPr>
          <w:p w14:paraId="6E963D94">
            <w:pPr>
              <w:jc w:val="center"/>
            </w:pPr>
            <w:r>
              <w:t>估价基准日</w:t>
            </w:r>
          </w:p>
        </w:tc>
        <w:tc>
          <w:tcPr>
            <w:tcW w:w="1984" w:type="dxa"/>
            <w:tcBorders>
              <w:top w:val="single" w:color="000000" w:sz="4" w:space="0"/>
              <w:left w:val="nil"/>
              <w:bottom w:val="nil"/>
              <w:right w:val="single" w:color="000000" w:sz="4" w:space="0"/>
            </w:tcBorders>
            <w:shd w:val="clear" w:color="auto" w:fill="FFFFFF"/>
            <w:vAlign w:val="center"/>
          </w:tcPr>
          <w:p w14:paraId="59A20340">
            <w:pPr>
              <w:jc w:val="center"/>
            </w:pPr>
            <w:r>
              <w:t>土地使用权类型</w:t>
            </w:r>
          </w:p>
        </w:tc>
        <w:tc>
          <w:tcPr>
            <w:tcW w:w="993" w:type="dxa"/>
            <w:tcBorders>
              <w:top w:val="single" w:color="000000" w:sz="4" w:space="0"/>
              <w:left w:val="nil"/>
              <w:bottom w:val="nil"/>
              <w:right w:val="single" w:color="000000" w:sz="4" w:space="0"/>
            </w:tcBorders>
            <w:shd w:val="clear" w:color="auto" w:fill="FFFFFF"/>
            <w:vAlign w:val="center"/>
          </w:tcPr>
          <w:p w14:paraId="7B97AB50">
            <w:pPr>
              <w:jc w:val="center"/>
            </w:pPr>
            <w:r>
              <w:t>土地出让年期</w:t>
            </w:r>
          </w:p>
        </w:tc>
        <w:tc>
          <w:tcPr>
            <w:tcW w:w="3339" w:type="dxa"/>
            <w:tcBorders>
              <w:top w:val="single" w:color="000000" w:sz="4" w:space="0"/>
              <w:left w:val="nil"/>
              <w:bottom w:val="single" w:color="auto" w:sz="4" w:space="0"/>
              <w:right w:val="single" w:color="000000" w:sz="4" w:space="0"/>
            </w:tcBorders>
            <w:shd w:val="clear" w:color="auto" w:fill="FFFFFF"/>
            <w:vAlign w:val="center"/>
          </w:tcPr>
          <w:p w14:paraId="20C079DF">
            <w:pPr>
              <w:jc w:val="center"/>
            </w:pPr>
            <w:r>
              <w:t>农田基础设施</w:t>
            </w:r>
          </w:p>
        </w:tc>
      </w:tr>
      <w:tr w14:paraId="2059BAB6">
        <w:tblPrEx>
          <w:tblCellMar>
            <w:top w:w="0" w:type="dxa"/>
            <w:left w:w="108" w:type="dxa"/>
            <w:bottom w:w="0" w:type="dxa"/>
            <w:right w:w="108" w:type="dxa"/>
          </w:tblCellMar>
        </w:tblPrEx>
        <w:trPr>
          <w:trHeight w:val="932" w:hRule="atLeast"/>
          <w:jc w:val="center"/>
        </w:trPr>
        <w:tc>
          <w:tcPr>
            <w:tcW w:w="70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83B3F00">
            <w:pPr>
              <w:jc w:val="center"/>
            </w:pPr>
            <w:r>
              <w:t>耕地</w:t>
            </w:r>
          </w:p>
        </w:tc>
        <w:tc>
          <w:tcPr>
            <w:tcW w:w="1276" w:type="dxa"/>
            <w:tcBorders>
              <w:top w:val="single" w:color="000000" w:sz="4" w:space="0"/>
              <w:left w:val="nil"/>
              <w:bottom w:val="single" w:color="auto" w:sz="4" w:space="0"/>
              <w:right w:val="single" w:color="000000" w:sz="4" w:space="0"/>
            </w:tcBorders>
            <w:shd w:val="clear" w:color="auto" w:fill="FFFFFF"/>
            <w:vAlign w:val="center"/>
          </w:tcPr>
          <w:p w14:paraId="4977A55A">
            <w:pPr>
              <w:jc w:val="center"/>
            </w:pPr>
            <w:r>
              <w:t>2018年6月30日</w:t>
            </w:r>
          </w:p>
        </w:tc>
        <w:tc>
          <w:tcPr>
            <w:tcW w:w="1984" w:type="dxa"/>
            <w:tcBorders>
              <w:top w:val="single" w:color="000000" w:sz="4" w:space="0"/>
              <w:left w:val="nil"/>
              <w:bottom w:val="single" w:color="auto" w:sz="4" w:space="0"/>
              <w:right w:val="single" w:color="000000" w:sz="4" w:space="0"/>
            </w:tcBorders>
            <w:shd w:val="clear" w:color="auto" w:fill="FFFFFF"/>
            <w:vAlign w:val="center"/>
          </w:tcPr>
          <w:p w14:paraId="6E3819A2">
            <w:pPr>
              <w:jc w:val="center"/>
            </w:pPr>
            <w:r>
              <w:t>国有农用地使用权</w:t>
            </w:r>
          </w:p>
        </w:tc>
        <w:tc>
          <w:tcPr>
            <w:tcW w:w="993" w:type="dxa"/>
            <w:tcBorders>
              <w:top w:val="single" w:color="000000" w:sz="4" w:space="0"/>
              <w:left w:val="nil"/>
              <w:bottom w:val="single" w:color="auto" w:sz="4" w:space="0"/>
              <w:right w:val="single" w:color="auto" w:sz="4" w:space="0"/>
            </w:tcBorders>
            <w:shd w:val="clear" w:color="auto" w:fill="FFFFFF"/>
            <w:vAlign w:val="center"/>
          </w:tcPr>
          <w:p w14:paraId="41700FC0">
            <w:pPr>
              <w:jc w:val="center"/>
            </w:pPr>
            <w:r>
              <w:t>30年</w:t>
            </w:r>
          </w:p>
        </w:tc>
        <w:tc>
          <w:tcPr>
            <w:tcW w:w="3339" w:type="dxa"/>
            <w:tcBorders>
              <w:top w:val="single" w:color="auto" w:sz="4" w:space="0"/>
              <w:left w:val="single" w:color="auto" w:sz="4" w:space="0"/>
              <w:bottom w:val="single" w:color="auto" w:sz="4" w:space="0"/>
              <w:right w:val="single" w:color="auto" w:sz="4" w:space="0"/>
            </w:tcBorders>
            <w:shd w:val="clear" w:color="auto" w:fill="FFFFFF"/>
            <w:vAlign w:val="center"/>
          </w:tcPr>
          <w:p w14:paraId="301A073F">
            <w:pPr>
              <w:jc w:val="center"/>
            </w:pPr>
            <w:r>
              <w:t>宗地外道路通达、灌溉有保障、排水有保障、地块平整、形状规则</w:t>
            </w:r>
          </w:p>
        </w:tc>
      </w:tr>
    </w:tbl>
    <w:p w14:paraId="061379F7">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192" w:name="_Toc47384633"/>
      <w:bookmarkStart w:id="193" w:name="_Toc534983052"/>
      <w:bookmarkStart w:id="194" w:name="_Toc534833374"/>
      <w:r>
        <w:rPr>
          <w:rFonts w:hint="eastAsia" w:ascii="宋体" w:hAnsi="宋体"/>
          <w:bCs/>
          <w:kern w:val="2"/>
          <w:szCs w:val="28"/>
        </w:rPr>
        <w:t>4.2</w:t>
      </w:r>
      <w:r>
        <w:rPr>
          <w:rFonts w:ascii="宋体" w:hAnsi="宋体"/>
          <w:bCs/>
          <w:kern w:val="2"/>
          <w:szCs w:val="28"/>
        </w:rPr>
        <w:t xml:space="preserve"> 估价技术方法</w:t>
      </w:r>
      <w:bookmarkEnd w:id="192"/>
      <w:bookmarkEnd w:id="193"/>
      <w:bookmarkEnd w:id="194"/>
    </w:p>
    <w:p w14:paraId="3E2B4BA7">
      <w:pPr>
        <w:pStyle w:val="4"/>
        <w:widowControl w:val="0"/>
        <w:tabs>
          <w:tab w:val="left" w:pos="720"/>
        </w:tabs>
        <w:spacing w:before="120" w:after="120" w:line="500" w:lineRule="exact"/>
        <w:ind w:left="826" w:hanging="826"/>
        <w:jc w:val="both"/>
        <w:rPr>
          <w:rFonts w:ascii="宋体" w:hAnsi="宋体"/>
          <w:sz w:val="24"/>
          <w:szCs w:val="24"/>
        </w:rPr>
      </w:pPr>
      <w:bookmarkStart w:id="195" w:name="_Toc534983053"/>
      <w:bookmarkStart w:id="196" w:name="_Toc47384634"/>
      <w:bookmarkStart w:id="197" w:name="_Toc535399945"/>
      <w:r>
        <w:rPr>
          <w:rFonts w:hint="eastAsia" w:ascii="宋体" w:hAnsi="宋体"/>
          <w:sz w:val="24"/>
          <w:szCs w:val="24"/>
        </w:rPr>
        <w:t>4.2</w:t>
      </w:r>
      <w:r>
        <w:rPr>
          <w:rFonts w:ascii="宋体" w:hAnsi="宋体"/>
          <w:sz w:val="24"/>
          <w:szCs w:val="24"/>
        </w:rPr>
        <w:t>.1 技术</w:t>
      </w:r>
      <w:bookmarkEnd w:id="195"/>
      <w:r>
        <w:rPr>
          <w:rFonts w:hint="eastAsia" w:ascii="宋体" w:hAnsi="宋体"/>
          <w:sz w:val="24"/>
          <w:szCs w:val="24"/>
        </w:rPr>
        <w:t>思路</w:t>
      </w:r>
      <w:bookmarkEnd w:id="196"/>
      <w:bookmarkEnd w:id="197"/>
    </w:p>
    <w:p w14:paraId="1D9C4D49">
      <w:pPr>
        <w:spacing w:line="500" w:lineRule="exact"/>
        <w:ind w:firstLine="480" w:firstLineChars="200"/>
        <w:rPr>
          <w:sz w:val="24"/>
          <w:szCs w:val="21"/>
        </w:rPr>
      </w:pPr>
      <w:r>
        <w:rPr>
          <w:sz w:val="24"/>
          <w:szCs w:val="21"/>
        </w:rPr>
        <w:t>按照《农用地定级规程》（（GB/T 28405-2012）、《农用地估价规程》（GB/T 28406-2012）中有关基准地价评估的规定，国有农用地基准地价是在国有农用地定级或均质区域划分的基础上，利用</w:t>
      </w:r>
      <w:r>
        <w:rPr>
          <w:rFonts w:ascii="宋体" w:hAnsi="宋体"/>
          <w:sz w:val="24"/>
        </w:rPr>
        <w:t>国有农用地</w:t>
      </w:r>
      <w:r>
        <w:rPr>
          <w:sz w:val="24"/>
          <w:szCs w:val="21"/>
        </w:rPr>
        <w:t>经营状况、土地收益或地价指数等相关资料全面或局部调整基准地价的过程。</w:t>
      </w:r>
      <w:r>
        <w:rPr>
          <w:rFonts w:ascii="宋体" w:hAnsi="宋体"/>
          <w:sz w:val="24"/>
        </w:rPr>
        <w:t>国有农用地</w:t>
      </w:r>
      <w:r>
        <w:rPr>
          <w:sz w:val="24"/>
          <w:szCs w:val="21"/>
        </w:rPr>
        <w:t>基准地价评估主要有以下三种技术思路：</w:t>
      </w:r>
    </w:p>
    <w:p w14:paraId="5737C0B7">
      <w:pPr>
        <w:spacing w:line="500" w:lineRule="exact"/>
        <w:ind w:firstLine="480" w:firstLineChars="200"/>
        <w:rPr>
          <w:sz w:val="24"/>
          <w:szCs w:val="21"/>
        </w:rPr>
      </w:pPr>
      <w:r>
        <w:rPr>
          <w:sz w:val="24"/>
          <w:szCs w:val="21"/>
        </w:rPr>
        <w:t>（1）样点地价平均法</w:t>
      </w:r>
    </w:p>
    <w:p w14:paraId="7BCA06FA">
      <w:pPr>
        <w:pStyle w:val="63"/>
        <w:spacing w:line="500" w:lineRule="exact"/>
        <w:ind w:firstLine="480"/>
        <w:rPr>
          <w:sz w:val="24"/>
          <w:szCs w:val="21"/>
        </w:rPr>
      </w:pPr>
      <w:r>
        <w:rPr>
          <w:sz w:val="24"/>
          <w:szCs w:val="21"/>
        </w:rPr>
        <w:t>样点地价平均法是在国有农用地定级基础上，用投入产出样点资料和市场交易样点资料评估确定基准地价，</w:t>
      </w:r>
      <w:r>
        <w:rPr>
          <w:rFonts w:hint="eastAsia"/>
          <w:sz w:val="24"/>
          <w:szCs w:val="21"/>
        </w:rPr>
        <w:t>并</w:t>
      </w:r>
      <w:r>
        <w:rPr>
          <w:sz w:val="24"/>
          <w:szCs w:val="21"/>
        </w:rPr>
        <w:t>以各样</w:t>
      </w:r>
      <w:r>
        <w:rPr>
          <w:rFonts w:hint="eastAsia"/>
          <w:sz w:val="24"/>
          <w:szCs w:val="21"/>
        </w:rPr>
        <w:t>点</w:t>
      </w:r>
      <w:r>
        <w:rPr>
          <w:sz w:val="24"/>
          <w:szCs w:val="21"/>
        </w:rPr>
        <w:t>地价的平均值评估并确定国有农用地基准地价。</w:t>
      </w:r>
    </w:p>
    <w:p w14:paraId="0F63C851">
      <w:pPr>
        <w:pStyle w:val="63"/>
        <w:spacing w:line="500" w:lineRule="exact"/>
        <w:ind w:firstLine="480"/>
        <w:rPr>
          <w:sz w:val="24"/>
          <w:szCs w:val="21"/>
        </w:rPr>
      </w:pPr>
      <w:r>
        <w:rPr>
          <w:sz w:val="24"/>
          <w:szCs w:val="21"/>
        </w:rPr>
        <w:t>（2）定级指数模型法</w:t>
      </w:r>
    </w:p>
    <w:p w14:paraId="1114202C">
      <w:pPr>
        <w:pStyle w:val="63"/>
        <w:spacing w:line="500" w:lineRule="exact"/>
        <w:ind w:firstLine="480"/>
        <w:rPr>
          <w:sz w:val="24"/>
          <w:szCs w:val="21"/>
        </w:rPr>
      </w:pPr>
      <w:r>
        <w:rPr>
          <w:sz w:val="24"/>
          <w:szCs w:val="21"/>
        </w:rPr>
        <w:t>定级指数模型法在国有农用地定级基础上，根据定级指数、国有农用地市场交易资料和投入产出资料，建立地价测算模型，评估并确定基准地价</w:t>
      </w:r>
      <w:r>
        <w:rPr>
          <w:rFonts w:hint="eastAsia"/>
          <w:sz w:val="24"/>
          <w:szCs w:val="21"/>
        </w:rPr>
        <w:t>。</w:t>
      </w:r>
    </w:p>
    <w:p w14:paraId="036EA37A">
      <w:pPr>
        <w:pStyle w:val="63"/>
        <w:spacing w:line="500" w:lineRule="exact"/>
        <w:ind w:firstLine="480"/>
        <w:rPr>
          <w:sz w:val="24"/>
          <w:szCs w:val="21"/>
        </w:rPr>
      </w:pPr>
      <w:r>
        <w:rPr>
          <w:sz w:val="24"/>
          <w:szCs w:val="21"/>
        </w:rPr>
        <w:t>（3）基准地块评估法</w:t>
      </w:r>
    </w:p>
    <w:p w14:paraId="28DBFEE1">
      <w:pPr>
        <w:pStyle w:val="63"/>
        <w:spacing w:line="500" w:lineRule="exact"/>
        <w:ind w:firstLine="480"/>
        <w:rPr>
          <w:sz w:val="24"/>
          <w:szCs w:val="21"/>
        </w:rPr>
      </w:pPr>
      <w:r>
        <w:rPr>
          <w:sz w:val="24"/>
          <w:szCs w:val="21"/>
        </w:rPr>
        <w:t>基准地块评估法通过设置基准地块，依据国有农用地市场交易资料和投入产出资料评估基准地块价格，再将同一均质地域内基准地块的平均地价作为该均质地域的基准地价。</w:t>
      </w:r>
    </w:p>
    <w:p w14:paraId="5B027AF8">
      <w:pPr>
        <w:pStyle w:val="63"/>
        <w:spacing w:line="500" w:lineRule="exact"/>
        <w:ind w:firstLine="480"/>
        <w:rPr>
          <w:sz w:val="24"/>
          <w:szCs w:val="21"/>
        </w:rPr>
      </w:pPr>
      <w:r>
        <w:rPr>
          <w:sz w:val="24"/>
          <w:szCs w:val="21"/>
        </w:rPr>
        <w:t>在国有农用地基准地价评估中，可根据本地国有农用地市场状况、基础资料及技术条件，选择其中一条技术路线进行评估。</w:t>
      </w:r>
    </w:p>
    <w:p w14:paraId="449847A6">
      <w:pPr>
        <w:spacing w:line="500" w:lineRule="exact"/>
        <w:ind w:firstLine="480" w:firstLineChars="200"/>
        <w:rPr>
          <w:sz w:val="24"/>
          <w:szCs w:val="21"/>
        </w:rPr>
      </w:pPr>
      <w:r>
        <w:rPr>
          <w:sz w:val="24"/>
          <w:szCs w:val="21"/>
        </w:rPr>
        <w:t>鄂州市国有农用地基准地价评估的基本思路是：在初步进行国有农用地定级的基础上，采用样点地价平均法，利用样点作物投入、产出资料和部分市场交易资料，采用收益还原法计算样点地价，并对样本地价进行相关修正后，采用面积加权平均法计算级别基准地价。</w:t>
      </w:r>
    </w:p>
    <w:p w14:paraId="3E5708FC">
      <w:pPr>
        <w:pStyle w:val="4"/>
        <w:widowControl w:val="0"/>
        <w:tabs>
          <w:tab w:val="left" w:pos="720"/>
        </w:tabs>
        <w:spacing w:before="120" w:after="120" w:line="500" w:lineRule="exact"/>
        <w:ind w:left="826" w:hanging="826"/>
        <w:jc w:val="both"/>
        <w:rPr>
          <w:rFonts w:ascii="宋体" w:hAnsi="宋体"/>
          <w:sz w:val="24"/>
          <w:szCs w:val="24"/>
        </w:rPr>
      </w:pPr>
      <w:bookmarkStart w:id="198" w:name="_Toc47384635"/>
      <w:bookmarkStart w:id="199" w:name="_Toc535399946"/>
      <w:bookmarkStart w:id="200" w:name="_Toc534833375"/>
      <w:bookmarkStart w:id="201" w:name="_Toc534983054"/>
      <w:r>
        <w:rPr>
          <w:rFonts w:hint="eastAsia" w:ascii="宋体" w:hAnsi="宋体"/>
          <w:sz w:val="24"/>
          <w:szCs w:val="24"/>
        </w:rPr>
        <w:t>4.2</w:t>
      </w:r>
      <w:r>
        <w:rPr>
          <w:rFonts w:ascii="宋体" w:hAnsi="宋体"/>
          <w:sz w:val="24"/>
          <w:szCs w:val="24"/>
        </w:rPr>
        <w:t>.2 估价方法选定</w:t>
      </w:r>
      <w:bookmarkEnd w:id="198"/>
      <w:bookmarkEnd w:id="199"/>
      <w:bookmarkEnd w:id="200"/>
      <w:bookmarkEnd w:id="201"/>
    </w:p>
    <w:p w14:paraId="0698B9D6">
      <w:pPr>
        <w:spacing w:line="500" w:lineRule="exact"/>
        <w:ind w:firstLine="480" w:firstLineChars="200"/>
        <w:rPr>
          <w:b/>
          <w:sz w:val="24"/>
          <w:szCs w:val="21"/>
        </w:rPr>
      </w:pPr>
      <w:r>
        <w:rPr>
          <w:sz w:val="24"/>
          <w:szCs w:val="21"/>
        </w:rPr>
        <w:t>鄂州市国有农用地基准地价评估工作共涉及402个图斑，其中水田图斑数为122个，水浇地图斑数为263个，旱地图斑数为17个。各类型图斑个数如表4-2所示。</w:t>
      </w:r>
    </w:p>
    <w:p w14:paraId="426F3591">
      <w:pPr>
        <w:adjustRightInd w:val="0"/>
        <w:snapToGrid w:val="0"/>
        <w:ind w:firstLine="420"/>
        <w:jc w:val="center"/>
        <w:rPr>
          <w:b/>
          <w:szCs w:val="21"/>
        </w:rPr>
      </w:pPr>
      <w:r>
        <w:rPr>
          <w:b/>
          <w:szCs w:val="21"/>
        </w:rPr>
        <w:t>表4-2 鄂州市国有农用地各类型土地级别图斑统计表</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1659"/>
        <w:gridCol w:w="1659"/>
        <w:gridCol w:w="1659"/>
        <w:gridCol w:w="1659"/>
      </w:tblGrid>
      <w:tr w14:paraId="4524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660" w:type="dxa"/>
            <w:vAlign w:val="center"/>
          </w:tcPr>
          <w:p w14:paraId="6043DB3B">
            <w:pPr>
              <w:jc w:val="center"/>
              <w:rPr>
                <w:szCs w:val="21"/>
              </w:rPr>
            </w:pPr>
            <w:r>
              <w:rPr>
                <w:szCs w:val="21"/>
              </w:rPr>
              <w:t>级别</w:t>
            </w:r>
          </w:p>
        </w:tc>
        <w:tc>
          <w:tcPr>
            <w:tcW w:w="1659" w:type="dxa"/>
            <w:vAlign w:val="center"/>
          </w:tcPr>
          <w:p w14:paraId="706221B1">
            <w:pPr>
              <w:jc w:val="center"/>
              <w:rPr>
                <w:szCs w:val="21"/>
              </w:rPr>
            </w:pPr>
            <w:r>
              <w:rPr>
                <w:szCs w:val="21"/>
              </w:rPr>
              <w:t>水田</w:t>
            </w:r>
          </w:p>
        </w:tc>
        <w:tc>
          <w:tcPr>
            <w:tcW w:w="1659" w:type="dxa"/>
            <w:vAlign w:val="center"/>
          </w:tcPr>
          <w:p w14:paraId="121591F5">
            <w:pPr>
              <w:jc w:val="center"/>
              <w:rPr>
                <w:szCs w:val="21"/>
              </w:rPr>
            </w:pPr>
            <w:r>
              <w:rPr>
                <w:szCs w:val="21"/>
              </w:rPr>
              <w:t>水浇地</w:t>
            </w:r>
          </w:p>
        </w:tc>
        <w:tc>
          <w:tcPr>
            <w:tcW w:w="1659" w:type="dxa"/>
            <w:vAlign w:val="center"/>
          </w:tcPr>
          <w:p w14:paraId="583B1969">
            <w:pPr>
              <w:jc w:val="center"/>
              <w:rPr>
                <w:szCs w:val="21"/>
              </w:rPr>
            </w:pPr>
            <w:r>
              <w:rPr>
                <w:szCs w:val="21"/>
              </w:rPr>
              <w:t>旱地</w:t>
            </w:r>
          </w:p>
        </w:tc>
        <w:tc>
          <w:tcPr>
            <w:tcW w:w="1659" w:type="dxa"/>
            <w:vAlign w:val="center"/>
          </w:tcPr>
          <w:p w14:paraId="4A9DC670">
            <w:pPr>
              <w:jc w:val="center"/>
              <w:rPr>
                <w:szCs w:val="21"/>
              </w:rPr>
            </w:pPr>
            <w:r>
              <w:rPr>
                <w:szCs w:val="21"/>
              </w:rPr>
              <w:t>合计</w:t>
            </w:r>
          </w:p>
        </w:tc>
      </w:tr>
      <w:tr w14:paraId="69FA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4AA3D3B1">
            <w:pPr>
              <w:jc w:val="center"/>
              <w:rPr>
                <w:szCs w:val="21"/>
              </w:rPr>
            </w:pPr>
            <w:r>
              <w:rPr>
                <w:szCs w:val="21"/>
              </w:rPr>
              <w:t>I</w:t>
            </w:r>
          </w:p>
        </w:tc>
        <w:tc>
          <w:tcPr>
            <w:tcW w:w="1659" w:type="dxa"/>
            <w:vAlign w:val="center"/>
          </w:tcPr>
          <w:p w14:paraId="2B34C436">
            <w:pPr>
              <w:jc w:val="center"/>
              <w:rPr>
                <w:szCs w:val="21"/>
              </w:rPr>
            </w:pPr>
            <w:r>
              <w:rPr>
                <w:szCs w:val="21"/>
              </w:rPr>
              <w:t>88</w:t>
            </w:r>
          </w:p>
        </w:tc>
        <w:tc>
          <w:tcPr>
            <w:tcW w:w="1659" w:type="dxa"/>
            <w:vAlign w:val="center"/>
          </w:tcPr>
          <w:p w14:paraId="67DD5814">
            <w:pPr>
              <w:jc w:val="center"/>
              <w:rPr>
                <w:szCs w:val="21"/>
              </w:rPr>
            </w:pPr>
            <w:r>
              <w:rPr>
                <w:szCs w:val="21"/>
              </w:rPr>
              <w:t>202</w:t>
            </w:r>
          </w:p>
        </w:tc>
        <w:tc>
          <w:tcPr>
            <w:tcW w:w="1659" w:type="dxa"/>
            <w:vAlign w:val="center"/>
          </w:tcPr>
          <w:p w14:paraId="19D6E7BA">
            <w:pPr>
              <w:jc w:val="center"/>
              <w:rPr>
                <w:szCs w:val="21"/>
              </w:rPr>
            </w:pPr>
            <w:r>
              <w:rPr>
                <w:szCs w:val="21"/>
              </w:rPr>
              <w:t>7</w:t>
            </w:r>
          </w:p>
        </w:tc>
        <w:tc>
          <w:tcPr>
            <w:tcW w:w="1659" w:type="dxa"/>
            <w:vAlign w:val="center"/>
          </w:tcPr>
          <w:p w14:paraId="41DBFD46">
            <w:pPr>
              <w:jc w:val="center"/>
              <w:rPr>
                <w:szCs w:val="21"/>
              </w:rPr>
            </w:pPr>
            <w:r>
              <w:rPr>
                <w:szCs w:val="21"/>
              </w:rPr>
              <w:t>297</w:t>
            </w:r>
          </w:p>
        </w:tc>
      </w:tr>
      <w:tr w14:paraId="4121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43AD06C2">
            <w:pPr>
              <w:jc w:val="center"/>
              <w:rPr>
                <w:szCs w:val="21"/>
              </w:rPr>
            </w:pPr>
            <w:r>
              <w:rPr>
                <w:szCs w:val="21"/>
              </w:rPr>
              <w:t>II</w:t>
            </w:r>
          </w:p>
        </w:tc>
        <w:tc>
          <w:tcPr>
            <w:tcW w:w="1659" w:type="dxa"/>
            <w:vAlign w:val="center"/>
          </w:tcPr>
          <w:p w14:paraId="4340AF51">
            <w:pPr>
              <w:jc w:val="center"/>
              <w:rPr>
                <w:szCs w:val="21"/>
              </w:rPr>
            </w:pPr>
            <w:r>
              <w:rPr>
                <w:szCs w:val="21"/>
              </w:rPr>
              <w:t>34</w:t>
            </w:r>
          </w:p>
        </w:tc>
        <w:tc>
          <w:tcPr>
            <w:tcW w:w="1659" w:type="dxa"/>
            <w:vAlign w:val="center"/>
          </w:tcPr>
          <w:p w14:paraId="17E0F4F1">
            <w:pPr>
              <w:jc w:val="center"/>
              <w:rPr>
                <w:szCs w:val="21"/>
              </w:rPr>
            </w:pPr>
            <w:r>
              <w:rPr>
                <w:szCs w:val="21"/>
              </w:rPr>
              <w:t>61</w:t>
            </w:r>
          </w:p>
        </w:tc>
        <w:tc>
          <w:tcPr>
            <w:tcW w:w="1659" w:type="dxa"/>
            <w:vAlign w:val="center"/>
          </w:tcPr>
          <w:p w14:paraId="263113A2">
            <w:pPr>
              <w:jc w:val="center"/>
              <w:rPr>
                <w:szCs w:val="21"/>
              </w:rPr>
            </w:pPr>
            <w:r>
              <w:rPr>
                <w:szCs w:val="21"/>
              </w:rPr>
              <w:t>10</w:t>
            </w:r>
          </w:p>
        </w:tc>
        <w:tc>
          <w:tcPr>
            <w:tcW w:w="1659" w:type="dxa"/>
            <w:vAlign w:val="center"/>
          </w:tcPr>
          <w:p w14:paraId="7843388F">
            <w:pPr>
              <w:jc w:val="center"/>
              <w:rPr>
                <w:szCs w:val="21"/>
              </w:rPr>
            </w:pPr>
            <w:r>
              <w:rPr>
                <w:szCs w:val="21"/>
              </w:rPr>
              <w:t>105</w:t>
            </w:r>
          </w:p>
        </w:tc>
      </w:tr>
      <w:tr w14:paraId="3BD6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65F4C339">
            <w:pPr>
              <w:jc w:val="center"/>
              <w:rPr>
                <w:szCs w:val="21"/>
              </w:rPr>
            </w:pPr>
            <w:r>
              <w:rPr>
                <w:szCs w:val="21"/>
              </w:rPr>
              <w:t>合计</w:t>
            </w:r>
          </w:p>
        </w:tc>
        <w:tc>
          <w:tcPr>
            <w:tcW w:w="1659" w:type="dxa"/>
            <w:vAlign w:val="center"/>
          </w:tcPr>
          <w:p w14:paraId="744CF533">
            <w:pPr>
              <w:jc w:val="center"/>
              <w:rPr>
                <w:szCs w:val="21"/>
              </w:rPr>
            </w:pPr>
            <w:r>
              <w:rPr>
                <w:szCs w:val="21"/>
              </w:rPr>
              <w:t>122</w:t>
            </w:r>
          </w:p>
        </w:tc>
        <w:tc>
          <w:tcPr>
            <w:tcW w:w="1659" w:type="dxa"/>
            <w:vAlign w:val="center"/>
          </w:tcPr>
          <w:p w14:paraId="53001F37">
            <w:pPr>
              <w:jc w:val="center"/>
              <w:rPr>
                <w:szCs w:val="21"/>
              </w:rPr>
            </w:pPr>
            <w:r>
              <w:rPr>
                <w:szCs w:val="21"/>
              </w:rPr>
              <w:t>263</w:t>
            </w:r>
          </w:p>
        </w:tc>
        <w:tc>
          <w:tcPr>
            <w:tcW w:w="1659" w:type="dxa"/>
            <w:vAlign w:val="center"/>
          </w:tcPr>
          <w:p w14:paraId="09A2887B">
            <w:pPr>
              <w:jc w:val="center"/>
              <w:rPr>
                <w:szCs w:val="21"/>
              </w:rPr>
            </w:pPr>
            <w:r>
              <w:rPr>
                <w:szCs w:val="21"/>
              </w:rPr>
              <w:t>17</w:t>
            </w:r>
          </w:p>
        </w:tc>
        <w:tc>
          <w:tcPr>
            <w:tcW w:w="1659" w:type="dxa"/>
            <w:vAlign w:val="center"/>
          </w:tcPr>
          <w:p w14:paraId="4C2385D6">
            <w:pPr>
              <w:jc w:val="center"/>
              <w:rPr>
                <w:szCs w:val="21"/>
              </w:rPr>
            </w:pPr>
            <w:r>
              <w:rPr>
                <w:szCs w:val="21"/>
              </w:rPr>
              <w:t>402</w:t>
            </w:r>
          </w:p>
        </w:tc>
      </w:tr>
    </w:tbl>
    <w:p w14:paraId="41F66E5B">
      <w:pPr>
        <w:spacing w:line="500" w:lineRule="exact"/>
        <w:ind w:firstLine="480" w:firstLineChars="200"/>
        <w:rPr>
          <w:sz w:val="24"/>
          <w:szCs w:val="21"/>
        </w:rPr>
      </w:pPr>
      <w:r>
        <w:rPr>
          <w:sz w:val="24"/>
          <w:szCs w:val="21"/>
        </w:rPr>
        <w:t>将外业调查样点资料整理统计后，共收集到样点90个，根据外业调查中实际收集的资料情况，各级别样点数量均能满足数理统计的要求，因此在本次国有农用地基准地价评估过程中，采用样点地价平均法测算基准地价，主要涉及收益还原法和市场比较法。</w:t>
      </w:r>
    </w:p>
    <w:p w14:paraId="6DA2B610">
      <w:pPr>
        <w:pStyle w:val="180"/>
        <w:ind w:firstLine="480"/>
      </w:pPr>
      <w:r>
        <w:rPr>
          <w:rFonts w:hint="eastAsia"/>
        </w:rPr>
        <w:t>（1）</w:t>
      </w:r>
      <w:r>
        <w:t>收益还原法</w:t>
      </w:r>
    </w:p>
    <w:p w14:paraId="0A4147EA">
      <w:pPr>
        <w:spacing w:line="500" w:lineRule="exact"/>
        <w:ind w:firstLine="480" w:firstLineChars="200"/>
        <w:rPr>
          <w:sz w:val="24"/>
          <w:szCs w:val="21"/>
        </w:rPr>
      </w:pPr>
      <w:r>
        <w:rPr>
          <w:sz w:val="24"/>
          <w:szCs w:val="21"/>
        </w:rPr>
        <w:t>收益还原法是将待估农地在未来每年预期的纯收益（地租），以一定的收益还原为评价时日总收益的一种方法。该方法能够很好的反映不同级别的国有农用地因不同的收益而导致土地价格的差异。采用收益还原法进行宗地价格评估时，以宗地为单位进行评估，即考虑国有农用地收益是由宗地总面积产生的，不考虑国有农用地收益面积。采用收益还原法评估国有农用地价格，所计算的年纯收益与其权利状况相对应。具体计算过程如下：</w:t>
      </w:r>
    </w:p>
    <w:p w14:paraId="01FC3C29">
      <w:pPr>
        <w:spacing w:line="500" w:lineRule="exact"/>
        <w:ind w:firstLine="480" w:firstLineChars="200"/>
        <w:rPr>
          <w:sz w:val="24"/>
          <w:szCs w:val="21"/>
        </w:rPr>
      </w:pPr>
      <w:r>
        <w:rPr>
          <w:rFonts w:hint="eastAsia" w:ascii="宋体" w:hAnsi="宋体"/>
          <w:sz w:val="24"/>
          <w:szCs w:val="21"/>
        </w:rPr>
        <w:t>1）</w:t>
      </w:r>
      <w:r>
        <w:rPr>
          <w:sz w:val="24"/>
          <w:szCs w:val="21"/>
        </w:rPr>
        <w:t>测算年总收益</w:t>
      </w:r>
    </w:p>
    <w:p w14:paraId="61A81181">
      <w:pPr>
        <w:spacing w:line="500" w:lineRule="exact"/>
        <w:ind w:firstLine="480" w:firstLineChars="200"/>
        <w:rPr>
          <w:sz w:val="24"/>
          <w:szCs w:val="21"/>
        </w:rPr>
      </w:pPr>
      <w:r>
        <w:rPr>
          <w:sz w:val="24"/>
          <w:szCs w:val="21"/>
        </w:rPr>
        <w:t>年总收益是指待估宗地按法定用途，合理有效地利用土地所得到的持续稳定的客观正常年收益。确定年总收益时可根据待估国有农用地生产经营的方式进行具体分析。</w:t>
      </w:r>
    </w:p>
    <w:p w14:paraId="7B417139">
      <w:pPr>
        <w:spacing w:line="500" w:lineRule="exact"/>
        <w:ind w:firstLine="480" w:firstLineChars="200"/>
        <w:rPr>
          <w:sz w:val="24"/>
          <w:szCs w:val="21"/>
        </w:rPr>
      </w:pPr>
      <w:r>
        <w:rPr>
          <w:rFonts w:hint="eastAsia" w:ascii="宋体" w:hAnsi="宋体"/>
          <w:sz w:val="24"/>
          <w:szCs w:val="21"/>
        </w:rPr>
        <w:t>2）</w:t>
      </w:r>
      <w:r>
        <w:rPr>
          <w:sz w:val="24"/>
          <w:szCs w:val="21"/>
        </w:rPr>
        <w:t>年总费用</w:t>
      </w:r>
    </w:p>
    <w:p w14:paraId="2DA93A9C">
      <w:pPr>
        <w:spacing w:line="500" w:lineRule="exact"/>
        <w:ind w:firstLine="480" w:firstLineChars="200"/>
        <w:rPr>
          <w:sz w:val="24"/>
          <w:szCs w:val="21"/>
        </w:rPr>
      </w:pPr>
      <w:r>
        <w:rPr>
          <w:sz w:val="24"/>
          <w:szCs w:val="21"/>
        </w:rPr>
        <w:t>年总费用指待估国有农用地的使用者在进行生产经营活动中所支付的年平均客观总费用。在确定年总费用时根据待估国有农用地生产经营的方式进行具体分析。</w:t>
      </w:r>
    </w:p>
    <w:p w14:paraId="4ADE1925">
      <w:pPr>
        <w:spacing w:line="500" w:lineRule="exact"/>
        <w:ind w:firstLine="480" w:firstLineChars="200"/>
        <w:rPr>
          <w:sz w:val="24"/>
          <w:szCs w:val="21"/>
        </w:rPr>
      </w:pPr>
      <w:r>
        <w:rPr>
          <w:rFonts w:hint="eastAsia" w:ascii="宋体" w:hAnsi="宋体"/>
          <w:sz w:val="24"/>
          <w:szCs w:val="21"/>
        </w:rPr>
        <w:t>3）</w:t>
      </w:r>
      <w:r>
        <w:rPr>
          <w:sz w:val="24"/>
          <w:szCs w:val="21"/>
        </w:rPr>
        <w:t>年纯收益的计算</w:t>
      </w:r>
    </w:p>
    <w:p w14:paraId="330F767B">
      <w:pPr>
        <w:spacing w:line="500" w:lineRule="exact"/>
        <w:ind w:firstLine="480" w:firstLineChars="200"/>
        <w:rPr>
          <w:sz w:val="24"/>
          <w:szCs w:val="21"/>
        </w:rPr>
      </w:pPr>
      <w:r>
        <w:rPr>
          <w:sz w:val="24"/>
          <w:szCs w:val="21"/>
        </w:rPr>
        <w:t>年纯收益的计算方法按照《农用地估价规程》（</w:t>
      </w:r>
      <w:r>
        <w:rPr>
          <w:sz w:val="24"/>
        </w:rPr>
        <w:t>GB/T 28406-2012</w:t>
      </w:r>
      <w:r>
        <w:rPr>
          <w:sz w:val="24"/>
          <w:szCs w:val="21"/>
        </w:rPr>
        <w:t>）中的公式进行计算，即：</w:t>
      </w:r>
    </w:p>
    <w:p w14:paraId="02AE6062">
      <w:pPr>
        <w:spacing w:line="500" w:lineRule="exact"/>
        <w:ind w:firstLine="480" w:firstLineChars="200"/>
        <w:rPr>
          <w:sz w:val="24"/>
          <w:szCs w:val="21"/>
        </w:rPr>
      </w:pPr>
      <w:r>
        <w:rPr>
          <w:sz w:val="24"/>
          <w:szCs w:val="21"/>
        </w:rPr>
        <w:t>国有农用地纯收益=国有农用地总收益</w:t>
      </w:r>
      <m:oMath>
        <m:r>
          <m:rPr>
            <m:sty m:val="p"/>
          </m:rPr>
          <w:rPr>
            <w:rFonts w:ascii="Cambria Math" w:hAnsi="Cambria Math"/>
            <w:sz w:val="24"/>
            <w:szCs w:val="21"/>
          </w:rPr>
          <m:t>−</m:t>
        </m:r>
      </m:oMath>
      <w:r>
        <w:rPr>
          <w:sz w:val="24"/>
          <w:szCs w:val="21"/>
        </w:rPr>
        <w:t>国有农用地总费用</w:t>
      </w:r>
    </w:p>
    <w:p w14:paraId="67E9811B">
      <w:pPr>
        <w:spacing w:line="500" w:lineRule="exact"/>
        <w:ind w:firstLine="480" w:firstLineChars="200"/>
        <w:rPr>
          <w:sz w:val="24"/>
          <w:szCs w:val="21"/>
        </w:rPr>
      </w:pPr>
      <w:r>
        <w:rPr>
          <w:rFonts w:hint="eastAsia" w:ascii="宋体" w:hAnsi="宋体"/>
          <w:sz w:val="24"/>
          <w:szCs w:val="21"/>
        </w:rPr>
        <w:t>4）</w:t>
      </w:r>
      <w:r>
        <w:rPr>
          <w:sz w:val="24"/>
          <w:szCs w:val="21"/>
        </w:rPr>
        <w:t>确定土地还原率</w:t>
      </w:r>
    </w:p>
    <w:p w14:paraId="5F37257E">
      <w:pPr>
        <w:spacing w:line="500" w:lineRule="exact"/>
        <w:ind w:firstLine="480" w:firstLineChars="200"/>
        <w:rPr>
          <w:sz w:val="24"/>
          <w:szCs w:val="21"/>
        </w:rPr>
      </w:pPr>
      <w:r>
        <w:rPr>
          <w:sz w:val="24"/>
          <w:szCs w:val="21"/>
        </w:rPr>
        <w:t>土地还原率是将土地的年纯收益还原（或转换）成土地价格的利率或比率，其实质是一种资本投资的利益率。一般情况下风险高收益率也高，反之则低。土地还原率的确定是收益还原法评估地价的一个关键问题，土地还原率的高低直接影响地价的高低。根据《农用地估价规程》（</w:t>
      </w:r>
      <w:r>
        <w:rPr>
          <w:sz w:val="24"/>
        </w:rPr>
        <w:t>GB/T 28406-2012</w:t>
      </w:r>
      <w:r>
        <w:rPr>
          <w:sz w:val="24"/>
          <w:szCs w:val="21"/>
        </w:rPr>
        <w:t>），土地还原率可按照下列方式确定：</w:t>
      </w:r>
    </w:p>
    <w:p w14:paraId="53ABF4F3">
      <w:pPr>
        <w:spacing w:line="500" w:lineRule="exact"/>
        <w:ind w:firstLine="480" w:firstLineChars="200"/>
        <w:rPr>
          <w:sz w:val="24"/>
          <w:szCs w:val="21"/>
        </w:rPr>
      </w:pPr>
      <w:r>
        <w:rPr>
          <w:rFonts w:hint="eastAsia" w:ascii="宋体" w:hAnsi="宋体" w:cs="宋体"/>
          <w:sz w:val="24"/>
          <w:szCs w:val="21"/>
        </w:rPr>
        <w:t>①</w:t>
      </w:r>
      <w:r>
        <w:rPr>
          <w:sz w:val="24"/>
          <w:szCs w:val="21"/>
        </w:rPr>
        <w:t>租价比方法：即选择与评估对象处于同一地区或近邻地区，相同用途的三宗以上近期发生交易的，且交易类型上与评估对象相似的国有农用地交易实例，以实际交易的土地租金或土地纯收益与其价格的比率的均值作为土地还原率。</w:t>
      </w:r>
    </w:p>
    <w:p w14:paraId="387E3C84">
      <w:pPr>
        <w:spacing w:line="500" w:lineRule="exact"/>
        <w:ind w:firstLine="480" w:firstLineChars="200"/>
        <w:rPr>
          <w:sz w:val="24"/>
          <w:szCs w:val="21"/>
        </w:rPr>
      </w:pPr>
      <w:r>
        <w:rPr>
          <w:rFonts w:hint="eastAsia" w:ascii="宋体" w:hAnsi="宋体" w:cs="宋体"/>
          <w:sz w:val="24"/>
          <w:szCs w:val="21"/>
        </w:rPr>
        <w:t>②</w:t>
      </w:r>
      <w:r>
        <w:rPr>
          <w:sz w:val="24"/>
          <w:szCs w:val="21"/>
        </w:rPr>
        <w:t>安全利率加风险调整值法：即土地还原率=安全利率+风险调整值。安全利率可选用同一时期的一年期国债年利率或银行一年期定期存款年利率，风险调整值可根据农业生产所遇到的灾害性天气、评估对象所处地区的社会经济发展水平和国有农用地市场等状况对其影响程度而确定。</w:t>
      </w:r>
    </w:p>
    <w:p w14:paraId="5DCB05D5">
      <w:pPr>
        <w:spacing w:line="500" w:lineRule="exact"/>
        <w:ind w:firstLine="480" w:firstLineChars="200"/>
        <w:rPr>
          <w:sz w:val="24"/>
          <w:szCs w:val="21"/>
        </w:rPr>
      </w:pPr>
      <w:r>
        <w:rPr>
          <w:rFonts w:hint="eastAsia" w:ascii="宋体" w:hAnsi="宋体" w:cs="宋体"/>
          <w:sz w:val="24"/>
          <w:szCs w:val="21"/>
        </w:rPr>
        <w:t>③</w:t>
      </w:r>
      <w:r>
        <w:rPr>
          <w:sz w:val="24"/>
          <w:szCs w:val="21"/>
        </w:rPr>
        <w:t>投资风险与投资收益率综合排序插入法：将社会上各种相关类型的投资，按它们的收益率与风险大小排序，然后分析判断评估对象对应的范围，确定还原率。</w:t>
      </w:r>
    </w:p>
    <w:p w14:paraId="659964A5">
      <w:pPr>
        <w:spacing w:line="500" w:lineRule="exact"/>
        <w:ind w:firstLine="480" w:firstLineChars="200"/>
        <w:rPr>
          <w:sz w:val="24"/>
          <w:szCs w:val="21"/>
        </w:rPr>
      </w:pPr>
      <w:r>
        <w:rPr>
          <w:sz w:val="24"/>
          <w:szCs w:val="21"/>
        </w:rPr>
        <w:t>5）计算国有农用地价格</w:t>
      </w:r>
    </w:p>
    <w:p w14:paraId="31BDFE3F">
      <w:pPr>
        <w:spacing w:line="500" w:lineRule="exact"/>
        <w:ind w:firstLine="480" w:firstLineChars="200"/>
        <w:rPr>
          <w:sz w:val="24"/>
          <w:szCs w:val="21"/>
        </w:rPr>
      </w:pPr>
      <w:r>
        <w:rPr>
          <w:sz w:val="24"/>
          <w:szCs w:val="21"/>
        </w:rPr>
        <w:t>采用收益还原法，分别计算各样点无限年期和30年有限年期的国有农用地价格，无限年期价格计算公式为</w:t>
      </w:r>
    </w:p>
    <w:p w14:paraId="1318192B">
      <w:pPr>
        <w:pStyle w:val="63"/>
        <w:spacing w:line="300" w:lineRule="auto"/>
        <w:ind w:firstLine="480"/>
        <w:rPr>
          <w:sz w:val="24"/>
          <w:szCs w:val="21"/>
        </w:rPr>
      </w:pPr>
      <m:oMathPara>
        <m:oMathParaPr>
          <m:jc m:val="center"/>
        </m:oMathParaPr>
        <m:oMath>
          <m:r>
            <m:rPr>
              <m:sty m:val="p"/>
            </m:rPr>
            <w:rPr>
              <w:rFonts w:ascii="Cambria Math" w:hAnsi="Cambria Math"/>
              <w:sz w:val="24"/>
              <w:szCs w:val="21"/>
            </w:rPr>
            <m:t>V=</m:t>
          </m:r>
          <m:f>
            <m:fPr>
              <m:ctrlPr>
                <w:rPr>
                  <w:rFonts w:ascii="Cambria Math" w:hAnsi="Cambria Math"/>
                  <w:sz w:val="24"/>
                  <w:szCs w:val="21"/>
                </w:rPr>
              </m:ctrlPr>
            </m:fPr>
            <m:num>
              <m:r>
                <m:rPr/>
                <w:rPr>
                  <w:rFonts w:ascii="Cambria Math" w:hAnsi="Cambria Math"/>
                  <w:sz w:val="24"/>
                  <w:szCs w:val="21"/>
                </w:rPr>
                <m:t>a</m:t>
              </m:r>
              <m:ctrlPr>
                <w:rPr>
                  <w:rFonts w:ascii="Cambria Math" w:hAnsi="Cambria Math"/>
                  <w:sz w:val="24"/>
                  <w:szCs w:val="21"/>
                </w:rPr>
              </m:ctrlPr>
            </m:num>
            <m:den>
              <m:r>
                <m:rPr/>
                <w:rPr>
                  <w:rFonts w:ascii="Cambria Math" w:hAnsi="Cambria Math"/>
                  <w:sz w:val="24"/>
                  <w:szCs w:val="21"/>
                </w:rPr>
                <m:t>r</m:t>
              </m:r>
              <m:ctrlPr>
                <w:rPr>
                  <w:rFonts w:ascii="Cambria Math" w:hAnsi="Cambria Math"/>
                  <w:sz w:val="24"/>
                  <w:szCs w:val="21"/>
                </w:rPr>
              </m:ctrlPr>
            </m:den>
          </m:f>
        </m:oMath>
      </m:oMathPara>
    </w:p>
    <w:p w14:paraId="271BA0A9">
      <w:pPr>
        <w:spacing w:line="500" w:lineRule="exact"/>
        <w:ind w:firstLine="480" w:firstLineChars="200"/>
        <w:rPr>
          <w:sz w:val="24"/>
          <w:szCs w:val="21"/>
        </w:rPr>
      </w:pPr>
      <w:r>
        <w:rPr>
          <w:sz w:val="24"/>
          <w:szCs w:val="21"/>
        </w:rPr>
        <w:t>式中：V—土地收益价格；</w:t>
      </w:r>
    </w:p>
    <w:p w14:paraId="082BA42C">
      <w:pPr>
        <w:spacing w:line="500" w:lineRule="exact"/>
        <w:ind w:firstLine="1200" w:firstLineChars="500"/>
        <w:rPr>
          <w:sz w:val="24"/>
          <w:szCs w:val="21"/>
        </w:rPr>
      </w:pPr>
      <w:r>
        <w:rPr>
          <w:sz w:val="24"/>
          <w:szCs w:val="21"/>
        </w:rPr>
        <w:t>a—土地纯收益；</w:t>
      </w:r>
    </w:p>
    <w:p w14:paraId="0B840EF7">
      <w:pPr>
        <w:spacing w:line="500" w:lineRule="exact"/>
        <w:ind w:firstLine="1200" w:firstLineChars="500"/>
        <w:rPr>
          <w:sz w:val="24"/>
          <w:szCs w:val="21"/>
        </w:rPr>
      </w:pPr>
      <w:r>
        <w:rPr>
          <w:sz w:val="24"/>
          <w:szCs w:val="21"/>
        </w:rPr>
        <w:t>r—土地还原利率。</w:t>
      </w:r>
    </w:p>
    <w:p w14:paraId="01584E36">
      <w:pPr>
        <w:spacing w:line="500" w:lineRule="exact"/>
        <w:ind w:firstLine="480" w:firstLineChars="200"/>
        <w:rPr>
          <w:sz w:val="24"/>
          <w:szCs w:val="21"/>
        </w:rPr>
      </w:pPr>
      <w:r>
        <w:rPr>
          <w:sz w:val="24"/>
          <w:szCs w:val="21"/>
        </w:rPr>
        <w:t>土地收益为有限年期的价格计算公式为：</w:t>
      </w:r>
    </w:p>
    <w:p w14:paraId="7B72E9C4">
      <w:pPr>
        <w:spacing w:line="300" w:lineRule="auto"/>
        <w:ind w:firstLine="480" w:firstLineChars="200"/>
        <w:rPr>
          <w:sz w:val="24"/>
          <w:szCs w:val="21"/>
        </w:rPr>
      </w:pPr>
      <m:oMathPara>
        <m:oMath>
          <m:r>
            <m:rPr>
              <m:sty m:val="p"/>
            </m:rPr>
            <w:rPr>
              <w:rFonts w:ascii="Cambria Math" w:hAnsi="Cambria Math"/>
              <w:sz w:val="24"/>
              <w:szCs w:val="21"/>
            </w:rPr>
            <m:t>V=</m:t>
          </m:r>
          <m:f>
            <m:fPr>
              <m:ctrlPr>
                <w:rPr>
                  <w:rFonts w:ascii="Cambria Math" w:hAnsi="Cambria Math"/>
                  <w:sz w:val="24"/>
                  <w:szCs w:val="21"/>
                </w:rPr>
              </m:ctrlPr>
            </m:fPr>
            <m:num>
              <m:r>
                <m:rPr/>
                <w:rPr>
                  <w:rFonts w:ascii="Cambria Math" w:hAnsi="Cambria Math"/>
                  <w:sz w:val="24"/>
                  <w:szCs w:val="21"/>
                </w:rPr>
                <m:t>a</m:t>
              </m:r>
              <m:ctrlPr>
                <w:rPr>
                  <w:rFonts w:ascii="Cambria Math" w:hAnsi="Cambria Math"/>
                  <w:sz w:val="24"/>
                  <w:szCs w:val="21"/>
                </w:rPr>
              </m:ctrlPr>
            </m:num>
            <m:den>
              <m:r>
                <m:rPr/>
                <w:rPr>
                  <w:rFonts w:ascii="Cambria Math" w:hAnsi="Cambria Math"/>
                  <w:sz w:val="24"/>
                  <w:szCs w:val="21"/>
                </w:rPr>
                <m:t>r</m:t>
              </m:r>
              <m:ctrlPr>
                <w:rPr>
                  <w:rFonts w:ascii="Cambria Math" w:hAnsi="Cambria Math"/>
                  <w:sz w:val="24"/>
                  <w:szCs w:val="21"/>
                </w:rPr>
              </m:ctrlPr>
            </m:den>
          </m:f>
          <m:r>
            <m:rPr/>
            <w:rPr>
              <w:rFonts w:ascii="Cambria Math" w:hAnsi="Cambria Math"/>
              <w:sz w:val="24"/>
              <w:szCs w:val="21"/>
            </w:rPr>
            <m:t>∗</m:t>
          </m:r>
          <m:d>
            <m:dPr>
              <m:begChr m:val="["/>
              <m:endChr m:val="]"/>
              <m:ctrlPr>
                <w:rPr>
                  <w:rFonts w:ascii="Cambria Math" w:hAnsi="Cambria Math"/>
                  <w:i/>
                  <w:sz w:val="24"/>
                  <w:szCs w:val="21"/>
                </w:rPr>
              </m:ctrlPr>
            </m:dPr>
            <m:e>
              <m:r>
                <m:rPr/>
                <w:rPr>
                  <w:rFonts w:ascii="Cambria Math" w:hAnsi="Cambria Math"/>
                  <w:sz w:val="24"/>
                  <w:szCs w:val="21"/>
                </w:rPr>
                <m:t>1−</m:t>
              </m:r>
              <m:f>
                <m:fPr>
                  <m:ctrlPr>
                    <w:rPr>
                      <w:rFonts w:ascii="Cambria Math" w:hAnsi="Cambria Math"/>
                      <w:i/>
                      <w:sz w:val="24"/>
                      <w:szCs w:val="21"/>
                    </w:rPr>
                  </m:ctrlPr>
                </m:fPr>
                <m:num>
                  <m:r>
                    <m:rPr/>
                    <w:rPr>
                      <w:rFonts w:ascii="Cambria Math" w:hAnsi="Cambria Math"/>
                      <w:sz w:val="24"/>
                      <w:szCs w:val="21"/>
                    </w:rPr>
                    <m:t>1</m:t>
                  </m:r>
                  <m:ctrlPr>
                    <w:rPr>
                      <w:rFonts w:ascii="Cambria Math" w:hAnsi="Cambria Math"/>
                      <w:i/>
                      <w:sz w:val="24"/>
                      <w:szCs w:val="21"/>
                    </w:rPr>
                  </m:ctrlPr>
                </m:num>
                <m:den>
                  <m:sSup>
                    <m:sSupPr>
                      <m:ctrlPr>
                        <w:rPr>
                          <w:rFonts w:ascii="Cambria Math" w:hAnsi="Cambria Math"/>
                          <w:i/>
                          <w:sz w:val="24"/>
                          <w:szCs w:val="21"/>
                        </w:rPr>
                      </m:ctrlPr>
                    </m:sSupPr>
                    <m:e>
                      <m:d>
                        <m:dPr>
                          <m:ctrlPr>
                            <w:rPr>
                              <w:rFonts w:ascii="Cambria Math" w:hAnsi="Cambria Math"/>
                              <w:i/>
                              <w:sz w:val="24"/>
                              <w:szCs w:val="21"/>
                            </w:rPr>
                          </m:ctrlPr>
                        </m:dPr>
                        <m:e>
                          <m:r>
                            <m:rPr/>
                            <w:rPr>
                              <w:rFonts w:ascii="Cambria Math" w:hAnsi="Cambria Math"/>
                              <w:sz w:val="24"/>
                              <w:szCs w:val="21"/>
                            </w:rPr>
                            <m:t>1+r</m:t>
                          </m:r>
                          <m:ctrlPr>
                            <w:rPr>
                              <w:rFonts w:ascii="Cambria Math" w:hAnsi="Cambria Math"/>
                              <w:i/>
                              <w:sz w:val="24"/>
                              <w:szCs w:val="21"/>
                            </w:rPr>
                          </m:ctrlPr>
                        </m:e>
                      </m:d>
                      <m:ctrlPr>
                        <w:rPr>
                          <w:rFonts w:ascii="Cambria Math" w:hAnsi="Cambria Math"/>
                          <w:i/>
                          <w:sz w:val="24"/>
                          <w:szCs w:val="21"/>
                        </w:rPr>
                      </m:ctrlPr>
                    </m:e>
                    <m:sup>
                      <m:r>
                        <m:rPr/>
                        <w:rPr>
                          <w:rFonts w:ascii="Cambria Math" w:hAnsi="Cambria Math"/>
                          <w:sz w:val="24"/>
                          <w:szCs w:val="21"/>
                        </w:rPr>
                        <m:t>n</m:t>
                      </m:r>
                      <m:ctrlPr>
                        <w:rPr>
                          <w:rFonts w:ascii="Cambria Math" w:hAnsi="Cambria Math"/>
                          <w:i/>
                          <w:sz w:val="24"/>
                          <w:szCs w:val="21"/>
                        </w:rPr>
                      </m:ctrlPr>
                    </m:sup>
                  </m:sSup>
                  <m:ctrlPr>
                    <w:rPr>
                      <w:rFonts w:ascii="Cambria Math" w:hAnsi="Cambria Math"/>
                      <w:i/>
                      <w:sz w:val="24"/>
                      <w:szCs w:val="21"/>
                    </w:rPr>
                  </m:ctrlPr>
                </m:den>
              </m:f>
              <m:ctrlPr>
                <w:rPr>
                  <w:rFonts w:ascii="Cambria Math" w:hAnsi="Cambria Math"/>
                  <w:i/>
                  <w:sz w:val="24"/>
                  <w:szCs w:val="21"/>
                </w:rPr>
              </m:ctrlPr>
            </m:e>
          </m:d>
        </m:oMath>
      </m:oMathPara>
    </w:p>
    <w:p w14:paraId="267431FD">
      <w:pPr>
        <w:spacing w:line="500" w:lineRule="exact"/>
        <w:ind w:firstLine="480" w:firstLineChars="200"/>
        <w:rPr>
          <w:sz w:val="24"/>
          <w:szCs w:val="21"/>
        </w:rPr>
      </w:pPr>
      <w:r>
        <w:rPr>
          <w:sz w:val="24"/>
          <w:szCs w:val="21"/>
        </w:rPr>
        <w:t>式中：V，a，r含义同前；</w:t>
      </w:r>
    </w:p>
    <w:p w14:paraId="22CBB31E">
      <w:pPr>
        <w:spacing w:line="500" w:lineRule="exact"/>
        <w:ind w:firstLine="1200" w:firstLineChars="500"/>
        <w:rPr>
          <w:sz w:val="24"/>
          <w:szCs w:val="21"/>
        </w:rPr>
      </w:pPr>
      <w:r>
        <w:rPr>
          <w:sz w:val="24"/>
          <w:szCs w:val="21"/>
        </w:rPr>
        <w:t>n—未来土地使用年限。</w:t>
      </w:r>
    </w:p>
    <w:p w14:paraId="7F870D0A">
      <w:pPr>
        <w:pStyle w:val="180"/>
        <w:ind w:firstLine="480"/>
      </w:pPr>
      <w:r>
        <w:rPr>
          <w:rFonts w:hint="eastAsia"/>
        </w:rPr>
        <w:t>（2）</w:t>
      </w:r>
      <w:r>
        <w:t>市场比较法</w:t>
      </w:r>
    </w:p>
    <w:p w14:paraId="5A1E4195">
      <w:pPr>
        <w:spacing w:line="500" w:lineRule="exact"/>
        <w:ind w:firstLine="480" w:firstLineChars="200"/>
        <w:rPr>
          <w:sz w:val="24"/>
        </w:rPr>
      </w:pPr>
      <w:r>
        <w:rPr>
          <w:rFonts w:hint="eastAsia" w:ascii="宋体" w:hAnsi="宋体"/>
          <w:sz w:val="24"/>
        </w:rPr>
        <w:t>1）</w:t>
      </w:r>
      <w:r>
        <w:rPr>
          <w:sz w:val="24"/>
        </w:rPr>
        <w:t>市场比较法概念</w:t>
      </w:r>
    </w:p>
    <w:p w14:paraId="20B8BC14">
      <w:pPr>
        <w:spacing w:line="500" w:lineRule="exact"/>
        <w:ind w:firstLine="480" w:firstLineChars="200"/>
        <w:rPr>
          <w:sz w:val="24"/>
        </w:rPr>
      </w:pPr>
      <w:r>
        <w:rPr>
          <w:sz w:val="24"/>
        </w:rPr>
        <w:t>指将估价对象与估价时点近期有过交易的类似房地产进行比较，对这些类似房地产的已知价格作适当的修正，以此估算估价对象的客观合理价格或价值的方法。市场比较法可用于不动产的买卖、租赁、抵押等各种交易形式的价格及租金确定，以替代原则为基础，求得比准价格，选择合适的交易案例进行修正，限用于市场比较稳定，有大量丰富交易案例的地区，并且交易案例与待估地块应有相相关性。主要进行交易</w:t>
      </w:r>
      <w:r>
        <w:rPr>
          <w:rFonts w:hint="eastAsia"/>
          <w:sz w:val="24"/>
        </w:rPr>
        <w:t>期日</w:t>
      </w:r>
      <w:r>
        <w:rPr>
          <w:sz w:val="24"/>
        </w:rPr>
        <w:t>、交易情况、区域因素、个别因素等修正。</w:t>
      </w:r>
    </w:p>
    <w:p w14:paraId="19F9D8EC">
      <w:pPr>
        <w:spacing w:line="500" w:lineRule="exact"/>
        <w:ind w:firstLine="480" w:firstLineChars="200"/>
        <w:rPr>
          <w:sz w:val="24"/>
        </w:rPr>
      </w:pPr>
      <w:r>
        <w:rPr>
          <w:rFonts w:hint="eastAsia" w:ascii="宋体" w:hAnsi="宋体"/>
          <w:sz w:val="24"/>
        </w:rPr>
        <w:t>2）</w:t>
      </w:r>
      <w:r>
        <w:rPr>
          <w:sz w:val="24"/>
        </w:rPr>
        <w:t>市场比较法公式</w:t>
      </w:r>
    </w:p>
    <w:p w14:paraId="4AB49F31">
      <w:pPr>
        <w:spacing w:line="500" w:lineRule="exact"/>
        <w:ind w:firstLine="480" w:firstLineChars="200"/>
        <w:rPr>
          <w:sz w:val="24"/>
        </w:rPr>
      </w:pPr>
      <w:r>
        <w:rPr>
          <w:sz w:val="24"/>
        </w:rPr>
        <w:t>a.直接比较公式</w:t>
      </w:r>
    </w:p>
    <w:p w14:paraId="0E8D2920">
      <w:pPr>
        <w:spacing w:line="300" w:lineRule="auto"/>
        <w:ind w:firstLine="480" w:firstLineChars="200"/>
        <w:jc w:val="center"/>
        <w:rPr>
          <w:sz w:val="24"/>
        </w:rPr>
      </w:pPr>
      <w:r>
        <w:rPr>
          <w:sz w:val="24"/>
        </w:rPr>
        <w:t>P=P</w:t>
      </w:r>
      <w:r>
        <w:rPr>
          <w:sz w:val="24"/>
          <w:vertAlign w:val="subscript"/>
        </w:rPr>
        <w:t>b</w:t>
      </w:r>
      <w:r>
        <w:rPr>
          <w:sz w:val="24"/>
        </w:rPr>
        <w:t>×A×B×C×D×E</w:t>
      </w:r>
    </w:p>
    <w:p w14:paraId="6F9A00F1">
      <w:pPr>
        <w:spacing w:line="500" w:lineRule="exact"/>
        <w:ind w:firstLine="480" w:firstLineChars="200"/>
        <w:rPr>
          <w:sz w:val="24"/>
        </w:rPr>
      </w:pPr>
      <w:r>
        <w:rPr>
          <w:rFonts w:hint="eastAsia"/>
          <w:sz w:val="24"/>
        </w:rPr>
        <w:t>其中：</w:t>
      </w:r>
      <w:r>
        <w:rPr>
          <w:sz w:val="24"/>
        </w:rPr>
        <w:t>P：待估宗地价格；</w:t>
      </w:r>
    </w:p>
    <w:p w14:paraId="530FE453">
      <w:pPr>
        <w:spacing w:line="500" w:lineRule="exact"/>
        <w:ind w:left="1275" w:leftChars="540" w:hanging="141" w:hangingChars="59"/>
        <w:rPr>
          <w:sz w:val="24"/>
        </w:rPr>
      </w:pPr>
      <w:r>
        <w:rPr>
          <w:sz w:val="24"/>
        </w:rPr>
        <w:t>P</w:t>
      </w:r>
      <w:r>
        <w:rPr>
          <w:sz w:val="24"/>
          <w:vertAlign w:val="subscript"/>
        </w:rPr>
        <w:t>b</w:t>
      </w:r>
      <w:r>
        <w:rPr>
          <w:sz w:val="24"/>
        </w:rPr>
        <w:t>比较实例价格；</w:t>
      </w:r>
    </w:p>
    <w:p w14:paraId="5CA9B399">
      <w:pPr>
        <w:spacing w:line="500" w:lineRule="exact"/>
        <w:ind w:left="1275" w:leftChars="540" w:hanging="141" w:hangingChars="59"/>
        <w:rPr>
          <w:sz w:val="24"/>
        </w:rPr>
      </w:pPr>
      <w:r>
        <w:rPr>
          <w:sz w:val="24"/>
        </w:rPr>
        <w:t>A估价对象交易情况指数/比较实例交易情况指数；</w:t>
      </w:r>
    </w:p>
    <w:p w14:paraId="2859DCF8">
      <w:pPr>
        <w:spacing w:line="500" w:lineRule="exact"/>
        <w:ind w:left="1275" w:leftChars="540" w:hanging="141" w:hangingChars="59"/>
        <w:rPr>
          <w:sz w:val="24"/>
        </w:rPr>
      </w:pPr>
      <w:r>
        <w:rPr>
          <w:sz w:val="24"/>
        </w:rPr>
        <w:t>B：估价对象估价期日地价指数／比较实例交易期日地价指数；</w:t>
      </w:r>
    </w:p>
    <w:p w14:paraId="5672BBB2">
      <w:pPr>
        <w:spacing w:line="500" w:lineRule="exact"/>
        <w:ind w:left="1275" w:leftChars="540" w:hanging="141" w:hangingChars="59"/>
        <w:rPr>
          <w:sz w:val="24"/>
        </w:rPr>
      </w:pPr>
      <w:r>
        <w:rPr>
          <w:sz w:val="24"/>
        </w:rPr>
        <w:t>C：估价对象区域因素条件指数／比较实例区域因素条件指数：</w:t>
      </w:r>
    </w:p>
    <w:p w14:paraId="4BB4B804">
      <w:pPr>
        <w:spacing w:line="500" w:lineRule="exact"/>
        <w:ind w:left="1275" w:leftChars="540" w:hanging="141" w:hangingChars="59"/>
        <w:rPr>
          <w:sz w:val="24"/>
        </w:rPr>
      </w:pPr>
      <w:r>
        <w:rPr>
          <w:sz w:val="24"/>
        </w:rPr>
        <w:t>D：估价对象个别因素条件指数比/较实例个别因素条件指数；</w:t>
      </w:r>
    </w:p>
    <w:p w14:paraId="46C47184">
      <w:pPr>
        <w:spacing w:line="500" w:lineRule="exact"/>
        <w:ind w:left="1275" w:leftChars="540" w:hanging="141" w:hangingChars="59"/>
        <w:rPr>
          <w:sz w:val="24"/>
        </w:rPr>
      </w:pPr>
      <w:r>
        <w:rPr>
          <w:sz w:val="24"/>
        </w:rPr>
        <w:t>E：估价对象年期修正指数／比较实例年期修正指数</w:t>
      </w:r>
    </w:p>
    <w:p w14:paraId="2EA1B204">
      <w:pPr>
        <w:spacing w:line="500" w:lineRule="exact"/>
        <w:ind w:firstLine="480" w:firstLineChars="200"/>
        <w:rPr>
          <w:sz w:val="24"/>
        </w:rPr>
      </w:pPr>
      <w:r>
        <w:rPr>
          <w:sz w:val="24"/>
        </w:rPr>
        <w:t>b.间接比较公式</w:t>
      </w:r>
    </w:p>
    <w:p w14:paraId="35353BDF">
      <w:pPr>
        <w:spacing w:line="300" w:lineRule="auto"/>
        <w:ind w:firstLine="480" w:firstLineChars="200"/>
        <w:jc w:val="center"/>
        <w:rPr>
          <w:sz w:val="24"/>
        </w:rPr>
      </w:pPr>
      <w:r>
        <w:rPr>
          <w:sz w:val="24"/>
        </w:rPr>
        <w:t>P= Pb×A×B×C×D×E×F</w:t>
      </w:r>
    </w:p>
    <w:p w14:paraId="5323EE7A">
      <w:pPr>
        <w:spacing w:line="500" w:lineRule="exact"/>
        <w:ind w:firstLine="480" w:firstLineChars="200"/>
        <w:rPr>
          <w:sz w:val="24"/>
        </w:rPr>
      </w:pPr>
      <w:r>
        <w:rPr>
          <w:rFonts w:hint="eastAsia"/>
          <w:sz w:val="24"/>
        </w:rPr>
        <w:t>其中：</w:t>
      </w:r>
      <w:r>
        <w:rPr>
          <w:sz w:val="24"/>
        </w:rPr>
        <w:t>P、P</w:t>
      </w:r>
      <w:r>
        <w:rPr>
          <w:sz w:val="24"/>
          <w:vertAlign w:val="subscript"/>
        </w:rPr>
        <w:t>b</w:t>
      </w:r>
      <w:r>
        <w:rPr>
          <w:sz w:val="24"/>
        </w:rPr>
        <w:t>、A、B、C、D、E的含义同公式直接比较法中的含义；</w:t>
      </w:r>
    </w:p>
    <w:p w14:paraId="00968ED0">
      <w:pPr>
        <w:spacing w:line="500" w:lineRule="exact"/>
        <w:ind w:firstLine="1200" w:firstLineChars="500"/>
        <w:rPr>
          <w:sz w:val="24"/>
        </w:rPr>
      </w:pPr>
      <w:r>
        <w:rPr>
          <w:sz w:val="24"/>
        </w:rPr>
        <w:t>F：标准宗地条件评价系数／比较案例宗地条件评价系数。</w:t>
      </w:r>
    </w:p>
    <w:p w14:paraId="217791DC">
      <w:pPr>
        <w:spacing w:line="500" w:lineRule="exact"/>
        <w:ind w:firstLine="480" w:firstLineChars="200"/>
        <w:rPr>
          <w:sz w:val="24"/>
        </w:rPr>
      </w:pPr>
      <w:r>
        <w:rPr>
          <w:sz w:val="24"/>
        </w:rPr>
        <w:t>由于利用间接比较公式求取待估宗地价格时，需要借助土地市场相关标准，在应用上有较多限制，因此间接比较公式在地价评估实践工作中较少被采用。</w:t>
      </w:r>
    </w:p>
    <w:p w14:paraId="372315FC">
      <w:pPr>
        <w:pStyle w:val="4"/>
        <w:widowControl w:val="0"/>
        <w:tabs>
          <w:tab w:val="left" w:pos="720"/>
        </w:tabs>
        <w:spacing w:before="120" w:after="120" w:line="500" w:lineRule="exact"/>
        <w:ind w:left="826" w:hanging="826"/>
        <w:jc w:val="both"/>
        <w:rPr>
          <w:rFonts w:ascii="宋体" w:hAnsi="宋体"/>
          <w:sz w:val="24"/>
          <w:szCs w:val="24"/>
        </w:rPr>
      </w:pPr>
      <w:bookmarkStart w:id="202" w:name="_Toc535399947"/>
      <w:bookmarkStart w:id="203" w:name="_Toc47384636"/>
      <w:r>
        <w:rPr>
          <w:rFonts w:hint="eastAsia" w:ascii="宋体" w:hAnsi="宋体"/>
          <w:sz w:val="24"/>
          <w:szCs w:val="24"/>
        </w:rPr>
        <w:t>4.2</w:t>
      </w:r>
      <w:r>
        <w:rPr>
          <w:rFonts w:ascii="宋体" w:hAnsi="宋体"/>
          <w:sz w:val="24"/>
          <w:szCs w:val="24"/>
        </w:rPr>
        <w:t>.3还原率确定</w:t>
      </w:r>
      <w:bookmarkEnd w:id="202"/>
      <w:bookmarkEnd w:id="203"/>
    </w:p>
    <w:p w14:paraId="470A79C8">
      <w:pPr>
        <w:spacing w:line="500" w:lineRule="exact"/>
        <w:ind w:firstLine="480" w:firstLineChars="200"/>
        <w:rPr>
          <w:color w:val="000000"/>
          <w:sz w:val="24"/>
        </w:rPr>
      </w:pPr>
      <w:r>
        <w:rPr>
          <w:color w:val="000000"/>
          <w:sz w:val="24"/>
        </w:rPr>
        <w:t>国有农用地基准地价评估还原率的确定采用安全利率加风险调整值法。还原利率=安全利率+风险调整值。安全利率可选用同一时期的国债利率或一年定期存款年利率；风险调整值应根据估价对象所处地区的社会经济发展和土地市场等状况对其影响程度而确定。</w:t>
      </w:r>
    </w:p>
    <w:p w14:paraId="1DCC88BA">
      <w:pPr>
        <w:spacing w:line="500" w:lineRule="exact"/>
        <w:ind w:firstLine="480" w:firstLineChars="200"/>
        <w:rPr>
          <w:sz w:val="24"/>
        </w:rPr>
      </w:pPr>
      <w:r>
        <w:rPr>
          <w:color w:val="000000"/>
          <w:sz w:val="24"/>
        </w:rPr>
        <w:t>还原利率=安全利率+风险调整值。安全利率可选用同一时期的国债利率或一年定期存款年利率；风险调整值应根据估价对象所处地区的社会经济发展和土地市场等状况对其影响程度而确定。根据鄂州市农业生产所承受的自然灾害风险、退出损失风险、投资规模风险、农产品安全风险等风险，综合确定风险调整值</w:t>
      </w:r>
      <w:r>
        <w:rPr>
          <w:rFonts w:hint="eastAsia"/>
          <w:color w:val="000000"/>
          <w:sz w:val="24"/>
        </w:rPr>
        <w:t>。</w:t>
      </w:r>
      <w:r>
        <w:rPr>
          <w:rFonts w:hint="eastAsia"/>
          <w:sz w:val="24"/>
        </w:rPr>
        <w:t>本次评估</w:t>
      </w:r>
      <w:r>
        <w:rPr>
          <w:sz w:val="24"/>
        </w:rPr>
        <w:t>采用2018年国债票面利率4%作为安全利率</w:t>
      </w:r>
      <w:r>
        <w:rPr>
          <w:rFonts w:hint="eastAsia"/>
          <w:sz w:val="24"/>
        </w:rPr>
        <w:t>，</w:t>
      </w:r>
      <w:r>
        <w:rPr>
          <w:sz w:val="24"/>
        </w:rPr>
        <w:t>通过征询鄂州市相关专家意见，确定国有农用地的投资风险调节值分别为0.12%。得到还原率为4.12%。</w:t>
      </w:r>
    </w:p>
    <w:p w14:paraId="79264C60">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204" w:name="_Toc47384637"/>
      <w:bookmarkStart w:id="205" w:name="_Toc534983056"/>
      <w:r>
        <w:rPr>
          <w:rFonts w:hint="eastAsia" w:ascii="宋体" w:hAnsi="宋体"/>
          <w:bCs/>
          <w:kern w:val="2"/>
          <w:szCs w:val="28"/>
        </w:rPr>
        <w:t>4.3</w:t>
      </w:r>
      <w:r>
        <w:rPr>
          <w:rFonts w:ascii="宋体" w:hAnsi="宋体"/>
          <w:bCs/>
          <w:kern w:val="2"/>
          <w:szCs w:val="28"/>
        </w:rPr>
        <w:t xml:space="preserve"> 基准地价地价测算过程</w:t>
      </w:r>
      <w:bookmarkEnd w:id="204"/>
      <w:bookmarkEnd w:id="205"/>
    </w:p>
    <w:p w14:paraId="1456687D">
      <w:pPr>
        <w:pStyle w:val="4"/>
        <w:widowControl w:val="0"/>
        <w:tabs>
          <w:tab w:val="left" w:pos="720"/>
        </w:tabs>
        <w:spacing w:before="120" w:after="120" w:line="500" w:lineRule="exact"/>
        <w:ind w:left="826" w:hanging="826"/>
        <w:jc w:val="both"/>
        <w:rPr>
          <w:rFonts w:ascii="宋体" w:hAnsi="宋体"/>
          <w:sz w:val="24"/>
          <w:szCs w:val="24"/>
        </w:rPr>
      </w:pPr>
      <w:bookmarkStart w:id="206" w:name="_Toc47384638"/>
      <w:bookmarkStart w:id="207" w:name="_Toc535399949"/>
      <w:r>
        <w:rPr>
          <w:rFonts w:hint="eastAsia" w:ascii="宋体" w:hAnsi="宋体"/>
          <w:sz w:val="24"/>
          <w:szCs w:val="24"/>
        </w:rPr>
        <w:t>4.3</w:t>
      </w:r>
      <w:r>
        <w:rPr>
          <w:rFonts w:ascii="宋体" w:hAnsi="宋体"/>
          <w:sz w:val="24"/>
          <w:szCs w:val="24"/>
        </w:rPr>
        <w:t xml:space="preserve">.1 </w:t>
      </w:r>
      <w:r>
        <w:rPr>
          <w:rFonts w:hint="eastAsia" w:ascii="宋体" w:hAnsi="宋体"/>
          <w:sz w:val="24"/>
          <w:szCs w:val="24"/>
        </w:rPr>
        <w:t>收益还原法（投入</w:t>
      </w:r>
      <w:r>
        <w:rPr>
          <w:rFonts w:ascii="宋体" w:hAnsi="宋体"/>
          <w:sz w:val="24"/>
          <w:szCs w:val="24"/>
        </w:rPr>
        <w:t>—</w:t>
      </w:r>
      <w:r>
        <w:rPr>
          <w:rFonts w:hint="eastAsia" w:ascii="宋体" w:hAnsi="宋体"/>
          <w:sz w:val="24"/>
          <w:szCs w:val="24"/>
        </w:rPr>
        <w:t>产出）</w:t>
      </w:r>
      <w:bookmarkEnd w:id="206"/>
      <w:bookmarkEnd w:id="207"/>
    </w:p>
    <w:p w14:paraId="6FE9AB32">
      <w:pPr>
        <w:pStyle w:val="180"/>
        <w:ind w:firstLine="480"/>
      </w:pPr>
      <w:r>
        <w:rPr>
          <w:rFonts w:hint="eastAsia"/>
        </w:rPr>
        <w:t>（1）</w:t>
      </w:r>
      <w:r>
        <w:t>年总收益计算</w:t>
      </w:r>
    </w:p>
    <w:p w14:paraId="06F28F54">
      <w:pPr>
        <w:spacing w:line="500" w:lineRule="exact"/>
        <w:ind w:firstLine="480" w:firstLineChars="200"/>
        <w:rPr>
          <w:b/>
          <w:szCs w:val="21"/>
        </w:rPr>
      </w:pPr>
      <w:r>
        <w:rPr>
          <w:sz w:val="24"/>
        </w:rPr>
        <w:t>根据现场投入-产出调查表，鄂州市</w:t>
      </w:r>
      <w:r>
        <w:rPr>
          <w:rFonts w:hint="eastAsia" w:ascii="宋体" w:hAnsi="宋体" w:cs="宋体"/>
          <w:sz w:val="24"/>
        </w:rPr>
        <w:t>Ⅰ</w:t>
      </w:r>
      <w:r>
        <w:rPr>
          <w:sz w:val="24"/>
        </w:rPr>
        <w:t>级国有农用地平均中稻产量为540公斤/亩，平均油菜产量为176公斤/亩。</w:t>
      </w:r>
      <w:r>
        <w:rPr>
          <w:rFonts w:hint="eastAsia" w:ascii="宋体" w:hAnsi="宋体" w:cs="宋体"/>
          <w:sz w:val="24"/>
        </w:rPr>
        <w:t>Ⅱ</w:t>
      </w:r>
      <w:r>
        <w:rPr>
          <w:sz w:val="24"/>
        </w:rPr>
        <w:t>级国有农用地平均中稻产量为498公斤/亩，平均油菜产量为152公斤/亩。根据2017年鄂州市农产品市场价格，中稻为2.8元/公斤，油菜价格为4.8元/公斤。具体信息见表：</w:t>
      </w:r>
      <w:bookmarkStart w:id="208" w:name="_Hlk534922017"/>
    </w:p>
    <w:p w14:paraId="698A75EE">
      <w:pPr>
        <w:ind w:firstLine="422"/>
        <w:jc w:val="center"/>
        <w:rPr>
          <w:b/>
          <w:szCs w:val="21"/>
        </w:rPr>
      </w:pPr>
      <w:r>
        <w:rPr>
          <w:b/>
          <w:szCs w:val="21"/>
        </w:rPr>
        <w:t>表4-3 鄂州市国有农用地年产出主要指标表</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983"/>
        <w:gridCol w:w="1249"/>
        <w:gridCol w:w="1029"/>
        <w:gridCol w:w="1027"/>
        <w:gridCol w:w="1025"/>
      </w:tblGrid>
      <w:tr w14:paraId="53BB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6" w:type="dxa"/>
            <w:gridSpan w:val="2"/>
          </w:tcPr>
          <w:p w14:paraId="5DB9CD22">
            <w:pPr>
              <w:jc w:val="center"/>
            </w:pPr>
            <w:r>
              <w:t>级别</w:t>
            </w:r>
          </w:p>
        </w:tc>
        <w:tc>
          <w:tcPr>
            <w:tcW w:w="2278" w:type="dxa"/>
            <w:gridSpan w:val="2"/>
          </w:tcPr>
          <w:p w14:paraId="593778DD">
            <w:pPr>
              <w:jc w:val="center"/>
            </w:pPr>
            <w:r>
              <w:rPr>
                <w:rFonts w:hint="eastAsia" w:ascii="宋体" w:hAnsi="宋体" w:cs="宋体"/>
              </w:rPr>
              <w:t>Ⅰ</w:t>
            </w:r>
            <w:r>
              <w:t>级</w:t>
            </w:r>
          </w:p>
        </w:tc>
        <w:tc>
          <w:tcPr>
            <w:tcW w:w="2052" w:type="dxa"/>
            <w:gridSpan w:val="2"/>
          </w:tcPr>
          <w:p w14:paraId="5F80DF33">
            <w:pPr>
              <w:jc w:val="center"/>
            </w:pPr>
            <w:r>
              <w:rPr>
                <w:rFonts w:hint="eastAsia" w:ascii="宋体" w:hAnsi="宋体" w:cs="宋体"/>
              </w:rPr>
              <w:t>Ⅱ</w:t>
            </w:r>
            <w:r>
              <w:t>级</w:t>
            </w:r>
          </w:p>
        </w:tc>
      </w:tr>
      <w:bookmarkEnd w:id="208"/>
      <w:tr w14:paraId="7C74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6" w:type="dxa"/>
            <w:gridSpan w:val="2"/>
          </w:tcPr>
          <w:p w14:paraId="41CC05C2">
            <w:pPr>
              <w:jc w:val="center"/>
            </w:pPr>
            <w:bookmarkStart w:id="209" w:name="_Hlk534922004"/>
            <w:r>
              <w:t>作物</w:t>
            </w:r>
          </w:p>
        </w:tc>
        <w:tc>
          <w:tcPr>
            <w:tcW w:w="1249" w:type="dxa"/>
          </w:tcPr>
          <w:p w14:paraId="35ACF835">
            <w:pPr>
              <w:jc w:val="center"/>
            </w:pPr>
            <w:r>
              <w:t>中稻</w:t>
            </w:r>
          </w:p>
        </w:tc>
        <w:tc>
          <w:tcPr>
            <w:tcW w:w="1029" w:type="dxa"/>
          </w:tcPr>
          <w:p w14:paraId="06140C3E">
            <w:pPr>
              <w:jc w:val="center"/>
            </w:pPr>
            <w:r>
              <w:t>油菜</w:t>
            </w:r>
          </w:p>
        </w:tc>
        <w:tc>
          <w:tcPr>
            <w:tcW w:w="1027" w:type="dxa"/>
          </w:tcPr>
          <w:p w14:paraId="3C2A9B70">
            <w:pPr>
              <w:jc w:val="center"/>
            </w:pPr>
            <w:r>
              <w:t>中稻</w:t>
            </w:r>
          </w:p>
        </w:tc>
        <w:tc>
          <w:tcPr>
            <w:tcW w:w="1025" w:type="dxa"/>
          </w:tcPr>
          <w:p w14:paraId="534F2E17">
            <w:pPr>
              <w:jc w:val="center"/>
            </w:pPr>
            <w:r>
              <w:t>油菜</w:t>
            </w:r>
          </w:p>
        </w:tc>
      </w:tr>
      <w:tr w14:paraId="7B22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3" w:type="dxa"/>
            <w:vMerge w:val="restart"/>
            <w:vAlign w:val="center"/>
          </w:tcPr>
          <w:p w14:paraId="444AC4B4">
            <w:pPr>
              <w:jc w:val="center"/>
            </w:pPr>
            <w:r>
              <w:t>产量（kg/亩）</w:t>
            </w:r>
          </w:p>
        </w:tc>
        <w:tc>
          <w:tcPr>
            <w:tcW w:w="1983" w:type="dxa"/>
            <w:vAlign w:val="center"/>
          </w:tcPr>
          <w:p w14:paraId="6768EBD4">
            <w:pPr>
              <w:jc w:val="center"/>
            </w:pPr>
            <w:r>
              <w:t>最大值</w:t>
            </w:r>
          </w:p>
        </w:tc>
        <w:tc>
          <w:tcPr>
            <w:tcW w:w="1249" w:type="dxa"/>
          </w:tcPr>
          <w:p w14:paraId="4AD4365F">
            <w:pPr>
              <w:jc w:val="center"/>
            </w:pPr>
            <w:r>
              <w:t>605</w:t>
            </w:r>
          </w:p>
        </w:tc>
        <w:tc>
          <w:tcPr>
            <w:tcW w:w="1029" w:type="dxa"/>
          </w:tcPr>
          <w:p w14:paraId="28CC7BC8">
            <w:pPr>
              <w:jc w:val="center"/>
            </w:pPr>
            <w:r>
              <w:t>206</w:t>
            </w:r>
          </w:p>
        </w:tc>
        <w:tc>
          <w:tcPr>
            <w:tcW w:w="1027" w:type="dxa"/>
          </w:tcPr>
          <w:p w14:paraId="7F075C13">
            <w:pPr>
              <w:jc w:val="center"/>
            </w:pPr>
            <w:r>
              <w:t>558</w:t>
            </w:r>
          </w:p>
        </w:tc>
        <w:tc>
          <w:tcPr>
            <w:tcW w:w="1025" w:type="dxa"/>
          </w:tcPr>
          <w:p w14:paraId="07A5A00C">
            <w:pPr>
              <w:jc w:val="center"/>
            </w:pPr>
            <w:r>
              <w:t>187</w:t>
            </w:r>
          </w:p>
        </w:tc>
      </w:tr>
      <w:tr w14:paraId="6CBA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3" w:type="dxa"/>
            <w:vMerge w:val="continue"/>
            <w:vAlign w:val="center"/>
          </w:tcPr>
          <w:p w14:paraId="60208398">
            <w:pPr>
              <w:jc w:val="center"/>
            </w:pPr>
          </w:p>
        </w:tc>
        <w:tc>
          <w:tcPr>
            <w:tcW w:w="1983" w:type="dxa"/>
            <w:vAlign w:val="center"/>
          </w:tcPr>
          <w:p w14:paraId="2CE7B0F8">
            <w:pPr>
              <w:jc w:val="center"/>
            </w:pPr>
            <w:r>
              <w:t>最小值</w:t>
            </w:r>
          </w:p>
        </w:tc>
        <w:tc>
          <w:tcPr>
            <w:tcW w:w="1249" w:type="dxa"/>
          </w:tcPr>
          <w:p w14:paraId="1BC874F1">
            <w:pPr>
              <w:jc w:val="center"/>
            </w:pPr>
            <w:r>
              <w:t>488</w:t>
            </w:r>
          </w:p>
        </w:tc>
        <w:tc>
          <w:tcPr>
            <w:tcW w:w="1029" w:type="dxa"/>
          </w:tcPr>
          <w:p w14:paraId="12FCD88A">
            <w:pPr>
              <w:jc w:val="center"/>
            </w:pPr>
            <w:r>
              <w:t>144</w:t>
            </w:r>
          </w:p>
        </w:tc>
        <w:tc>
          <w:tcPr>
            <w:tcW w:w="1027" w:type="dxa"/>
          </w:tcPr>
          <w:p w14:paraId="43739942">
            <w:pPr>
              <w:jc w:val="center"/>
            </w:pPr>
            <w:r>
              <w:t>424</w:t>
            </w:r>
          </w:p>
        </w:tc>
        <w:tc>
          <w:tcPr>
            <w:tcW w:w="1025" w:type="dxa"/>
          </w:tcPr>
          <w:p w14:paraId="7F5FD5F1">
            <w:pPr>
              <w:jc w:val="center"/>
            </w:pPr>
            <w:r>
              <w:t>119</w:t>
            </w:r>
          </w:p>
        </w:tc>
      </w:tr>
      <w:tr w14:paraId="6D3D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3" w:type="dxa"/>
            <w:vMerge w:val="continue"/>
            <w:vAlign w:val="center"/>
          </w:tcPr>
          <w:p w14:paraId="47D5EFC9">
            <w:pPr>
              <w:jc w:val="center"/>
            </w:pPr>
          </w:p>
        </w:tc>
        <w:tc>
          <w:tcPr>
            <w:tcW w:w="1983" w:type="dxa"/>
            <w:vAlign w:val="center"/>
          </w:tcPr>
          <w:p w14:paraId="3E2E23AF">
            <w:pPr>
              <w:jc w:val="center"/>
            </w:pPr>
            <w:r>
              <w:t>均值</w:t>
            </w:r>
          </w:p>
        </w:tc>
        <w:tc>
          <w:tcPr>
            <w:tcW w:w="1249" w:type="dxa"/>
          </w:tcPr>
          <w:p w14:paraId="4A4290E6">
            <w:pPr>
              <w:jc w:val="center"/>
            </w:pPr>
            <w:r>
              <w:t>540</w:t>
            </w:r>
          </w:p>
        </w:tc>
        <w:tc>
          <w:tcPr>
            <w:tcW w:w="1029" w:type="dxa"/>
          </w:tcPr>
          <w:p w14:paraId="3FCBAFE1">
            <w:pPr>
              <w:jc w:val="center"/>
            </w:pPr>
            <w:r>
              <w:t>176</w:t>
            </w:r>
          </w:p>
        </w:tc>
        <w:tc>
          <w:tcPr>
            <w:tcW w:w="1027" w:type="dxa"/>
          </w:tcPr>
          <w:p w14:paraId="401C960B">
            <w:pPr>
              <w:jc w:val="center"/>
            </w:pPr>
            <w:r>
              <w:t>498</w:t>
            </w:r>
          </w:p>
        </w:tc>
        <w:tc>
          <w:tcPr>
            <w:tcW w:w="1025" w:type="dxa"/>
          </w:tcPr>
          <w:p w14:paraId="36193AAA">
            <w:pPr>
              <w:jc w:val="center"/>
            </w:pPr>
            <w:r>
              <w:t>152</w:t>
            </w:r>
          </w:p>
        </w:tc>
      </w:tr>
      <w:tr w14:paraId="5FF5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966" w:type="dxa"/>
            <w:gridSpan w:val="2"/>
          </w:tcPr>
          <w:p w14:paraId="026A26DD">
            <w:pPr>
              <w:jc w:val="center"/>
            </w:pPr>
            <w:r>
              <w:t>平均单价（元/kg）</w:t>
            </w:r>
          </w:p>
        </w:tc>
        <w:tc>
          <w:tcPr>
            <w:tcW w:w="1249" w:type="dxa"/>
          </w:tcPr>
          <w:p w14:paraId="0813333C">
            <w:pPr>
              <w:jc w:val="center"/>
            </w:pPr>
            <w:r>
              <w:t>2.8</w:t>
            </w:r>
          </w:p>
        </w:tc>
        <w:tc>
          <w:tcPr>
            <w:tcW w:w="1029" w:type="dxa"/>
          </w:tcPr>
          <w:p w14:paraId="6B4923DE">
            <w:pPr>
              <w:jc w:val="center"/>
            </w:pPr>
            <w:r>
              <w:t>4.8</w:t>
            </w:r>
          </w:p>
        </w:tc>
        <w:tc>
          <w:tcPr>
            <w:tcW w:w="1027" w:type="dxa"/>
          </w:tcPr>
          <w:p w14:paraId="6C8CCEEB">
            <w:pPr>
              <w:jc w:val="center"/>
            </w:pPr>
            <w:r>
              <w:t>2.8</w:t>
            </w:r>
          </w:p>
        </w:tc>
        <w:tc>
          <w:tcPr>
            <w:tcW w:w="1025" w:type="dxa"/>
          </w:tcPr>
          <w:p w14:paraId="0972D3AF">
            <w:pPr>
              <w:jc w:val="center"/>
            </w:pPr>
            <w:r>
              <w:t>4.8</w:t>
            </w:r>
          </w:p>
        </w:tc>
      </w:tr>
      <w:bookmarkEnd w:id="209"/>
    </w:tbl>
    <w:p w14:paraId="2809F47A">
      <w:pPr>
        <w:spacing w:line="500" w:lineRule="exact"/>
        <w:ind w:firstLine="480" w:firstLineChars="200"/>
        <w:rPr>
          <w:sz w:val="24"/>
        </w:rPr>
      </w:pPr>
      <w:r>
        <w:rPr>
          <w:sz w:val="24"/>
        </w:rPr>
        <w:t>则可计算国有农用地每亩年总收益：</w:t>
      </w:r>
    </w:p>
    <w:p w14:paraId="187FFF7D">
      <w:pPr>
        <w:spacing w:line="500" w:lineRule="exact"/>
        <w:ind w:firstLine="480" w:firstLineChars="200"/>
        <w:rPr>
          <w:sz w:val="24"/>
        </w:rPr>
      </w:pPr>
      <w:r>
        <w:rPr>
          <w:sz w:val="24"/>
        </w:rPr>
        <w:t>国有农用地年总收益=作物A产量×作物A单价+作物B产量×作物B单价</w:t>
      </w:r>
    </w:p>
    <w:p w14:paraId="120095F3">
      <w:pPr>
        <w:spacing w:line="500" w:lineRule="exact"/>
        <w:ind w:firstLine="480" w:firstLineChars="200"/>
        <w:rPr>
          <w:sz w:val="24"/>
        </w:rPr>
      </w:pPr>
      <w:r>
        <w:rPr>
          <w:sz w:val="24"/>
        </w:rPr>
        <w:t>根据以上公式，通过计算可得到鄂州市国有农用地各样点区的土地总收益，其结果如下：</w:t>
      </w:r>
    </w:p>
    <w:p w14:paraId="302C8041">
      <w:pPr>
        <w:ind w:firstLine="422"/>
        <w:jc w:val="center"/>
        <w:rPr>
          <w:b/>
          <w:szCs w:val="21"/>
        </w:rPr>
      </w:pPr>
      <w:r>
        <w:rPr>
          <w:b/>
          <w:szCs w:val="21"/>
        </w:rPr>
        <w:t>表</w:t>
      </w:r>
      <w:r>
        <w:rPr>
          <w:rFonts w:hint="eastAsia"/>
          <w:b/>
          <w:szCs w:val="21"/>
        </w:rPr>
        <w:t>4-4</w:t>
      </w:r>
      <w:r>
        <w:rPr>
          <w:b/>
          <w:szCs w:val="21"/>
        </w:rPr>
        <w:t>鄂州市国有农用地年亩均年总收益</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1591"/>
        <w:gridCol w:w="883"/>
        <w:gridCol w:w="883"/>
        <w:gridCol w:w="886"/>
        <w:gridCol w:w="823"/>
        <w:gridCol w:w="821"/>
        <w:gridCol w:w="820"/>
      </w:tblGrid>
      <w:tr w14:paraId="1555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0" w:type="dxa"/>
            <w:gridSpan w:val="2"/>
          </w:tcPr>
          <w:p w14:paraId="269204DB">
            <w:pPr>
              <w:jc w:val="center"/>
            </w:pPr>
            <w:r>
              <w:t>级别</w:t>
            </w:r>
          </w:p>
        </w:tc>
        <w:tc>
          <w:tcPr>
            <w:tcW w:w="2652" w:type="dxa"/>
            <w:gridSpan w:val="3"/>
          </w:tcPr>
          <w:p w14:paraId="3577E585">
            <w:pPr>
              <w:jc w:val="center"/>
            </w:pPr>
            <w:r>
              <w:rPr>
                <w:rFonts w:hint="eastAsia" w:ascii="宋体" w:hAnsi="宋体" w:cs="宋体"/>
              </w:rPr>
              <w:t>Ⅰ</w:t>
            </w:r>
            <w:r>
              <w:t>级</w:t>
            </w:r>
          </w:p>
        </w:tc>
        <w:tc>
          <w:tcPr>
            <w:tcW w:w="2464" w:type="dxa"/>
            <w:gridSpan w:val="3"/>
          </w:tcPr>
          <w:p w14:paraId="3B9C0E17">
            <w:pPr>
              <w:jc w:val="center"/>
            </w:pPr>
            <w:r>
              <w:rPr>
                <w:rFonts w:hint="eastAsia" w:ascii="宋体" w:hAnsi="宋体" w:cs="宋体"/>
              </w:rPr>
              <w:t>Ⅱ</w:t>
            </w:r>
            <w:r>
              <w:t>级</w:t>
            </w:r>
          </w:p>
        </w:tc>
      </w:tr>
      <w:tr w14:paraId="43BA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0" w:type="dxa"/>
            <w:gridSpan w:val="2"/>
          </w:tcPr>
          <w:p w14:paraId="00F84145">
            <w:pPr>
              <w:jc w:val="center"/>
            </w:pPr>
            <w:r>
              <w:t>作物</w:t>
            </w:r>
          </w:p>
        </w:tc>
        <w:tc>
          <w:tcPr>
            <w:tcW w:w="883" w:type="dxa"/>
          </w:tcPr>
          <w:p w14:paraId="7077EE5B">
            <w:pPr>
              <w:jc w:val="center"/>
            </w:pPr>
            <w:r>
              <w:t>中稻</w:t>
            </w:r>
          </w:p>
        </w:tc>
        <w:tc>
          <w:tcPr>
            <w:tcW w:w="883" w:type="dxa"/>
          </w:tcPr>
          <w:p w14:paraId="3A9D7A31">
            <w:pPr>
              <w:jc w:val="center"/>
            </w:pPr>
            <w:r>
              <w:t>油菜</w:t>
            </w:r>
          </w:p>
        </w:tc>
        <w:tc>
          <w:tcPr>
            <w:tcW w:w="886" w:type="dxa"/>
          </w:tcPr>
          <w:p w14:paraId="36734FCF">
            <w:pPr>
              <w:jc w:val="center"/>
            </w:pPr>
            <w:r>
              <w:t>合计</w:t>
            </w:r>
          </w:p>
        </w:tc>
        <w:tc>
          <w:tcPr>
            <w:tcW w:w="823" w:type="dxa"/>
          </w:tcPr>
          <w:p w14:paraId="08010323">
            <w:pPr>
              <w:jc w:val="center"/>
            </w:pPr>
            <w:r>
              <w:t>中稻</w:t>
            </w:r>
          </w:p>
        </w:tc>
        <w:tc>
          <w:tcPr>
            <w:tcW w:w="821" w:type="dxa"/>
          </w:tcPr>
          <w:p w14:paraId="2B0C3658">
            <w:pPr>
              <w:jc w:val="center"/>
            </w:pPr>
            <w:r>
              <w:t>油菜</w:t>
            </w:r>
          </w:p>
        </w:tc>
        <w:tc>
          <w:tcPr>
            <w:tcW w:w="820" w:type="dxa"/>
          </w:tcPr>
          <w:p w14:paraId="5169CE57">
            <w:pPr>
              <w:jc w:val="center"/>
            </w:pPr>
            <w:r>
              <w:t>合计</w:t>
            </w:r>
          </w:p>
        </w:tc>
      </w:tr>
      <w:tr w14:paraId="6226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Merge w:val="restart"/>
            <w:vAlign w:val="center"/>
          </w:tcPr>
          <w:p w14:paraId="33F1C0D1">
            <w:pPr>
              <w:jc w:val="center"/>
            </w:pPr>
            <w:r>
              <w:t>亩均年总收益（元）</w:t>
            </w:r>
          </w:p>
        </w:tc>
        <w:tc>
          <w:tcPr>
            <w:tcW w:w="1591" w:type="dxa"/>
            <w:vAlign w:val="center"/>
          </w:tcPr>
          <w:p w14:paraId="319D9F93">
            <w:pPr>
              <w:jc w:val="center"/>
            </w:pPr>
            <w:r>
              <w:t>最大值</w:t>
            </w:r>
          </w:p>
        </w:tc>
        <w:tc>
          <w:tcPr>
            <w:tcW w:w="883" w:type="dxa"/>
            <w:vAlign w:val="center"/>
          </w:tcPr>
          <w:p w14:paraId="71090251">
            <w:pPr>
              <w:jc w:val="center"/>
            </w:pPr>
            <w:r>
              <w:t>1694</w:t>
            </w:r>
          </w:p>
        </w:tc>
        <w:tc>
          <w:tcPr>
            <w:tcW w:w="883" w:type="dxa"/>
            <w:vAlign w:val="center"/>
          </w:tcPr>
          <w:p w14:paraId="14BF6F05">
            <w:pPr>
              <w:jc w:val="center"/>
            </w:pPr>
            <w:r>
              <w:t>988</w:t>
            </w:r>
          </w:p>
        </w:tc>
        <w:tc>
          <w:tcPr>
            <w:tcW w:w="886" w:type="dxa"/>
          </w:tcPr>
          <w:p w14:paraId="1F344374">
            <w:pPr>
              <w:jc w:val="center"/>
            </w:pPr>
            <w:r>
              <w:t>2682</w:t>
            </w:r>
          </w:p>
        </w:tc>
        <w:tc>
          <w:tcPr>
            <w:tcW w:w="823" w:type="dxa"/>
            <w:vAlign w:val="center"/>
          </w:tcPr>
          <w:p w14:paraId="6DCF3672">
            <w:pPr>
              <w:jc w:val="center"/>
            </w:pPr>
            <w:r>
              <w:t>1562</w:t>
            </w:r>
          </w:p>
        </w:tc>
        <w:tc>
          <w:tcPr>
            <w:tcW w:w="821" w:type="dxa"/>
            <w:vAlign w:val="center"/>
          </w:tcPr>
          <w:p w14:paraId="35672AB7">
            <w:pPr>
              <w:jc w:val="center"/>
            </w:pPr>
            <w:r>
              <w:t>898</w:t>
            </w:r>
          </w:p>
        </w:tc>
        <w:tc>
          <w:tcPr>
            <w:tcW w:w="820" w:type="dxa"/>
          </w:tcPr>
          <w:p w14:paraId="7C612031">
            <w:pPr>
              <w:jc w:val="center"/>
            </w:pPr>
            <w:r>
              <w:t>2460</w:t>
            </w:r>
          </w:p>
        </w:tc>
      </w:tr>
      <w:tr w14:paraId="67D2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Merge w:val="continue"/>
            <w:vAlign w:val="center"/>
          </w:tcPr>
          <w:p w14:paraId="48221F5C">
            <w:pPr>
              <w:jc w:val="center"/>
            </w:pPr>
          </w:p>
        </w:tc>
        <w:tc>
          <w:tcPr>
            <w:tcW w:w="1591" w:type="dxa"/>
            <w:vAlign w:val="center"/>
          </w:tcPr>
          <w:p w14:paraId="03C613AA">
            <w:pPr>
              <w:jc w:val="center"/>
            </w:pPr>
            <w:r>
              <w:t>最小值</w:t>
            </w:r>
          </w:p>
        </w:tc>
        <w:tc>
          <w:tcPr>
            <w:tcW w:w="883" w:type="dxa"/>
            <w:vAlign w:val="center"/>
          </w:tcPr>
          <w:p w14:paraId="308DC172">
            <w:pPr>
              <w:jc w:val="center"/>
            </w:pPr>
            <w:r>
              <w:t>1366</w:t>
            </w:r>
          </w:p>
        </w:tc>
        <w:tc>
          <w:tcPr>
            <w:tcW w:w="883" w:type="dxa"/>
            <w:vAlign w:val="center"/>
          </w:tcPr>
          <w:p w14:paraId="0CED074F">
            <w:pPr>
              <w:jc w:val="center"/>
            </w:pPr>
            <w:r>
              <w:t>691</w:t>
            </w:r>
          </w:p>
        </w:tc>
        <w:tc>
          <w:tcPr>
            <w:tcW w:w="886" w:type="dxa"/>
          </w:tcPr>
          <w:p w14:paraId="2C9FA186">
            <w:pPr>
              <w:jc w:val="center"/>
            </w:pPr>
            <w:r>
              <w:t>2057</w:t>
            </w:r>
          </w:p>
        </w:tc>
        <w:tc>
          <w:tcPr>
            <w:tcW w:w="823" w:type="dxa"/>
            <w:vAlign w:val="center"/>
          </w:tcPr>
          <w:p w14:paraId="3698D0E1">
            <w:pPr>
              <w:jc w:val="center"/>
            </w:pPr>
            <w:r>
              <w:t>1187</w:t>
            </w:r>
          </w:p>
        </w:tc>
        <w:tc>
          <w:tcPr>
            <w:tcW w:w="821" w:type="dxa"/>
            <w:vAlign w:val="center"/>
          </w:tcPr>
          <w:p w14:paraId="59548C1F">
            <w:pPr>
              <w:jc w:val="center"/>
            </w:pPr>
            <w:r>
              <w:t>571</w:t>
            </w:r>
          </w:p>
        </w:tc>
        <w:tc>
          <w:tcPr>
            <w:tcW w:w="820" w:type="dxa"/>
          </w:tcPr>
          <w:p w14:paraId="30058414">
            <w:pPr>
              <w:jc w:val="center"/>
            </w:pPr>
            <w:r>
              <w:t>1758</w:t>
            </w:r>
          </w:p>
        </w:tc>
      </w:tr>
      <w:tr w14:paraId="14DA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Merge w:val="continue"/>
            <w:vAlign w:val="center"/>
          </w:tcPr>
          <w:p w14:paraId="61933588">
            <w:pPr>
              <w:jc w:val="center"/>
            </w:pPr>
          </w:p>
        </w:tc>
        <w:tc>
          <w:tcPr>
            <w:tcW w:w="1591" w:type="dxa"/>
            <w:vAlign w:val="center"/>
          </w:tcPr>
          <w:p w14:paraId="5C131334">
            <w:pPr>
              <w:jc w:val="center"/>
            </w:pPr>
            <w:r>
              <w:t>均值</w:t>
            </w:r>
          </w:p>
        </w:tc>
        <w:tc>
          <w:tcPr>
            <w:tcW w:w="883" w:type="dxa"/>
            <w:vAlign w:val="center"/>
          </w:tcPr>
          <w:p w14:paraId="4DFA06F1">
            <w:pPr>
              <w:jc w:val="center"/>
            </w:pPr>
            <w:r>
              <w:t>1512</w:t>
            </w:r>
          </w:p>
        </w:tc>
        <w:tc>
          <w:tcPr>
            <w:tcW w:w="883" w:type="dxa"/>
            <w:vAlign w:val="center"/>
          </w:tcPr>
          <w:p w14:paraId="2C9BD776">
            <w:pPr>
              <w:jc w:val="center"/>
            </w:pPr>
            <w:r>
              <w:t>845</w:t>
            </w:r>
          </w:p>
        </w:tc>
        <w:tc>
          <w:tcPr>
            <w:tcW w:w="886" w:type="dxa"/>
          </w:tcPr>
          <w:p w14:paraId="1003B960">
            <w:pPr>
              <w:jc w:val="center"/>
            </w:pPr>
            <w:r>
              <w:t>2357</w:t>
            </w:r>
          </w:p>
        </w:tc>
        <w:tc>
          <w:tcPr>
            <w:tcW w:w="823" w:type="dxa"/>
            <w:vAlign w:val="center"/>
          </w:tcPr>
          <w:p w14:paraId="25E33B86">
            <w:pPr>
              <w:jc w:val="center"/>
            </w:pPr>
            <w:r>
              <w:t>1394</w:t>
            </w:r>
          </w:p>
        </w:tc>
        <w:tc>
          <w:tcPr>
            <w:tcW w:w="821" w:type="dxa"/>
            <w:vAlign w:val="center"/>
          </w:tcPr>
          <w:p w14:paraId="113ADB3F">
            <w:pPr>
              <w:jc w:val="center"/>
            </w:pPr>
            <w:r>
              <w:t>729</w:t>
            </w:r>
          </w:p>
        </w:tc>
        <w:tc>
          <w:tcPr>
            <w:tcW w:w="820" w:type="dxa"/>
          </w:tcPr>
          <w:p w14:paraId="75EFF8DB">
            <w:pPr>
              <w:jc w:val="center"/>
            </w:pPr>
            <w:r>
              <w:t>2133</w:t>
            </w:r>
          </w:p>
        </w:tc>
      </w:tr>
    </w:tbl>
    <w:p w14:paraId="13FEE83E">
      <w:pPr>
        <w:pStyle w:val="180"/>
        <w:ind w:firstLine="480"/>
      </w:pPr>
      <w:r>
        <w:rPr>
          <w:rFonts w:hint="eastAsia"/>
        </w:rPr>
        <w:t>（2）</w:t>
      </w:r>
      <w:r>
        <w:t>年总费用计算</w:t>
      </w:r>
    </w:p>
    <w:p w14:paraId="65ED7F96">
      <w:pPr>
        <w:spacing w:line="500" w:lineRule="exact"/>
        <w:ind w:firstLine="480" w:firstLineChars="200"/>
        <w:rPr>
          <w:sz w:val="24"/>
        </w:rPr>
      </w:pPr>
      <w:r>
        <w:rPr>
          <w:sz w:val="24"/>
        </w:rPr>
        <w:t>农地的生产成本依据2015、2016和2017三年《全国农产品成本收益资料汇编》进行计算，包括种子费用、化肥费用、农药费用、水电费用等。费用取三年的平均值，并参考实际调查数据，确定样点的主要农作物生产成本为</w:t>
      </w:r>
      <w:r>
        <w:rPr>
          <w:rFonts w:hint="eastAsia" w:ascii="宋体" w:hAnsi="宋体" w:cs="宋体"/>
          <w:sz w:val="24"/>
        </w:rPr>
        <w:t>Ⅰ</w:t>
      </w:r>
      <w:r>
        <w:rPr>
          <w:sz w:val="24"/>
        </w:rPr>
        <w:t>级国有农用地中稻560元/亩，油菜350元/亩；</w:t>
      </w:r>
      <w:r>
        <w:rPr>
          <w:rFonts w:hint="eastAsia" w:ascii="宋体" w:hAnsi="宋体" w:cs="宋体"/>
          <w:sz w:val="24"/>
        </w:rPr>
        <w:t>Ⅱ</w:t>
      </w:r>
      <w:r>
        <w:rPr>
          <w:sz w:val="24"/>
        </w:rPr>
        <w:t>级国有农用地中稻700元/亩，油菜350元/亩。具体指标与数据见下表：</w:t>
      </w:r>
    </w:p>
    <w:p w14:paraId="2012C97A">
      <w:pPr>
        <w:ind w:firstLine="422"/>
        <w:jc w:val="center"/>
        <w:rPr>
          <w:b/>
          <w:szCs w:val="21"/>
        </w:rPr>
      </w:pPr>
      <w:r>
        <w:rPr>
          <w:b/>
          <w:szCs w:val="21"/>
        </w:rPr>
        <w:t>表4-5 鄂州市国有农用地年投入主要指标表</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4"/>
        <w:gridCol w:w="1135"/>
        <w:gridCol w:w="1133"/>
        <w:gridCol w:w="1113"/>
        <w:gridCol w:w="951"/>
      </w:tblGrid>
      <w:tr w14:paraId="194A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8467FA4">
            <w:pPr>
              <w:jc w:val="center"/>
            </w:pPr>
            <w:r>
              <w:t>级别</w:t>
            </w:r>
          </w:p>
        </w:tc>
        <w:tc>
          <w:tcPr>
            <w:tcW w:w="2268" w:type="dxa"/>
            <w:gridSpan w:val="2"/>
          </w:tcPr>
          <w:p w14:paraId="1651364A">
            <w:pPr>
              <w:jc w:val="center"/>
            </w:pPr>
            <w:r>
              <w:rPr>
                <w:rFonts w:hint="eastAsia" w:ascii="宋体" w:hAnsi="宋体" w:cs="宋体"/>
              </w:rPr>
              <w:t>Ⅰ</w:t>
            </w:r>
            <w:r>
              <w:t>级</w:t>
            </w:r>
          </w:p>
        </w:tc>
        <w:tc>
          <w:tcPr>
            <w:tcW w:w="2064" w:type="dxa"/>
            <w:gridSpan w:val="2"/>
          </w:tcPr>
          <w:p w14:paraId="3B428B81">
            <w:pPr>
              <w:jc w:val="center"/>
            </w:pPr>
            <w:r>
              <w:rPr>
                <w:rFonts w:hint="eastAsia" w:ascii="宋体" w:hAnsi="宋体" w:cs="宋体"/>
              </w:rPr>
              <w:t>Ⅱ</w:t>
            </w:r>
            <w:r>
              <w:t>级</w:t>
            </w:r>
          </w:p>
        </w:tc>
      </w:tr>
      <w:tr w14:paraId="05F7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2074F52A">
            <w:pPr>
              <w:jc w:val="center"/>
            </w:pPr>
            <w:r>
              <w:t>指标</w:t>
            </w:r>
          </w:p>
        </w:tc>
        <w:tc>
          <w:tcPr>
            <w:tcW w:w="1135" w:type="dxa"/>
          </w:tcPr>
          <w:p w14:paraId="048D6998">
            <w:pPr>
              <w:jc w:val="center"/>
            </w:pPr>
            <w:r>
              <w:t>中稻</w:t>
            </w:r>
          </w:p>
        </w:tc>
        <w:tc>
          <w:tcPr>
            <w:tcW w:w="1133" w:type="dxa"/>
          </w:tcPr>
          <w:p w14:paraId="0F1E1D8C">
            <w:pPr>
              <w:jc w:val="center"/>
            </w:pPr>
            <w:r>
              <w:t>油菜</w:t>
            </w:r>
          </w:p>
        </w:tc>
        <w:tc>
          <w:tcPr>
            <w:tcW w:w="1113" w:type="dxa"/>
          </w:tcPr>
          <w:p w14:paraId="6CF19186">
            <w:pPr>
              <w:jc w:val="center"/>
            </w:pPr>
            <w:r>
              <w:t>中稻</w:t>
            </w:r>
          </w:p>
        </w:tc>
        <w:tc>
          <w:tcPr>
            <w:tcW w:w="951" w:type="dxa"/>
          </w:tcPr>
          <w:p w14:paraId="5F053607">
            <w:pPr>
              <w:jc w:val="center"/>
            </w:pPr>
            <w:r>
              <w:t>油菜</w:t>
            </w:r>
          </w:p>
        </w:tc>
      </w:tr>
      <w:tr w14:paraId="0EA2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4" w:type="dxa"/>
            <w:vAlign w:val="center"/>
          </w:tcPr>
          <w:p w14:paraId="2199F609">
            <w:pPr>
              <w:jc w:val="center"/>
            </w:pPr>
            <w:r>
              <w:t>种子费用（元/亩）</w:t>
            </w:r>
          </w:p>
        </w:tc>
        <w:tc>
          <w:tcPr>
            <w:tcW w:w="1135" w:type="dxa"/>
          </w:tcPr>
          <w:p w14:paraId="6EBF72C0">
            <w:pPr>
              <w:jc w:val="center"/>
            </w:pPr>
            <w:r>
              <w:t>100</w:t>
            </w:r>
          </w:p>
        </w:tc>
        <w:tc>
          <w:tcPr>
            <w:tcW w:w="1133" w:type="dxa"/>
          </w:tcPr>
          <w:p w14:paraId="228C1977">
            <w:pPr>
              <w:jc w:val="center"/>
            </w:pPr>
            <w:r>
              <w:t>10</w:t>
            </w:r>
          </w:p>
        </w:tc>
        <w:tc>
          <w:tcPr>
            <w:tcW w:w="1113" w:type="dxa"/>
          </w:tcPr>
          <w:p w14:paraId="5F5B70F8">
            <w:pPr>
              <w:jc w:val="center"/>
            </w:pPr>
            <w:r>
              <w:t>100</w:t>
            </w:r>
          </w:p>
        </w:tc>
        <w:tc>
          <w:tcPr>
            <w:tcW w:w="951" w:type="dxa"/>
          </w:tcPr>
          <w:p w14:paraId="66D8DEA5">
            <w:pPr>
              <w:jc w:val="center"/>
            </w:pPr>
            <w:r>
              <w:t>10</w:t>
            </w:r>
          </w:p>
        </w:tc>
      </w:tr>
      <w:tr w14:paraId="07A5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32B20217">
            <w:pPr>
              <w:jc w:val="center"/>
            </w:pPr>
            <w:r>
              <w:t>农药费用（元/亩）</w:t>
            </w:r>
          </w:p>
        </w:tc>
        <w:tc>
          <w:tcPr>
            <w:tcW w:w="1135" w:type="dxa"/>
          </w:tcPr>
          <w:p w14:paraId="448F7471">
            <w:pPr>
              <w:jc w:val="center"/>
            </w:pPr>
            <w:r>
              <w:t>40</w:t>
            </w:r>
          </w:p>
        </w:tc>
        <w:tc>
          <w:tcPr>
            <w:tcW w:w="1133" w:type="dxa"/>
          </w:tcPr>
          <w:p w14:paraId="4E45086F">
            <w:pPr>
              <w:jc w:val="center"/>
            </w:pPr>
            <w:r>
              <w:t>30</w:t>
            </w:r>
          </w:p>
        </w:tc>
        <w:tc>
          <w:tcPr>
            <w:tcW w:w="1113" w:type="dxa"/>
          </w:tcPr>
          <w:p w14:paraId="1F22FE4E">
            <w:pPr>
              <w:jc w:val="center"/>
            </w:pPr>
            <w:r>
              <w:t>50</w:t>
            </w:r>
          </w:p>
        </w:tc>
        <w:tc>
          <w:tcPr>
            <w:tcW w:w="951" w:type="dxa"/>
          </w:tcPr>
          <w:p w14:paraId="2FE8FD19">
            <w:pPr>
              <w:jc w:val="center"/>
            </w:pPr>
            <w:r>
              <w:t>30</w:t>
            </w:r>
          </w:p>
        </w:tc>
      </w:tr>
      <w:tr w14:paraId="12B3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4554C411">
            <w:pPr>
              <w:jc w:val="center"/>
            </w:pPr>
            <w:r>
              <w:t>化肥费用（元/亩）</w:t>
            </w:r>
          </w:p>
        </w:tc>
        <w:tc>
          <w:tcPr>
            <w:tcW w:w="1135" w:type="dxa"/>
          </w:tcPr>
          <w:p w14:paraId="5C218126">
            <w:pPr>
              <w:jc w:val="center"/>
            </w:pPr>
            <w:r>
              <w:t>100</w:t>
            </w:r>
          </w:p>
        </w:tc>
        <w:tc>
          <w:tcPr>
            <w:tcW w:w="1133" w:type="dxa"/>
          </w:tcPr>
          <w:p w14:paraId="01D25B71">
            <w:pPr>
              <w:jc w:val="center"/>
            </w:pPr>
            <w:r>
              <w:t>100</w:t>
            </w:r>
          </w:p>
        </w:tc>
        <w:tc>
          <w:tcPr>
            <w:tcW w:w="1113" w:type="dxa"/>
          </w:tcPr>
          <w:p w14:paraId="71393266">
            <w:pPr>
              <w:jc w:val="center"/>
            </w:pPr>
            <w:r>
              <w:t>100</w:t>
            </w:r>
          </w:p>
        </w:tc>
        <w:tc>
          <w:tcPr>
            <w:tcW w:w="951" w:type="dxa"/>
          </w:tcPr>
          <w:p w14:paraId="6DBF8745">
            <w:pPr>
              <w:jc w:val="center"/>
            </w:pPr>
            <w:r>
              <w:t>100</w:t>
            </w:r>
          </w:p>
        </w:tc>
      </w:tr>
      <w:tr w14:paraId="6DA2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64FB00F">
            <w:pPr>
              <w:jc w:val="center"/>
            </w:pPr>
            <w:r>
              <w:t>机械耕作费用（元/亩）</w:t>
            </w:r>
          </w:p>
        </w:tc>
        <w:tc>
          <w:tcPr>
            <w:tcW w:w="1135" w:type="dxa"/>
          </w:tcPr>
          <w:p w14:paraId="0F2EDF9E">
            <w:pPr>
              <w:jc w:val="center"/>
            </w:pPr>
            <w:r>
              <w:t>100</w:t>
            </w:r>
          </w:p>
        </w:tc>
        <w:tc>
          <w:tcPr>
            <w:tcW w:w="1133" w:type="dxa"/>
          </w:tcPr>
          <w:p w14:paraId="26A07805">
            <w:pPr>
              <w:jc w:val="center"/>
            </w:pPr>
            <w:r>
              <w:t>90</w:t>
            </w:r>
          </w:p>
        </w:tc>
        <w:tc>
          <w:tcPr>
            <w:tcW w:w="1113" w:type="dxa"/>
          </w:tcPr>
          <w:p w14:paraId="58CD6735">
            <w:pPr>
              <w:jc w:val="center"/>
            </w:pPr>
            <w:r>
              <w:t>130</w:t>
            </w:r>
          </w:p>
        </w:tc>
        <w:tc>
          <w:tcPr>
            <w:tcW w:w="951" w:type="dxa"/>
          </w:tcPr>
          <w:p w14:paraId="3CEEAF0C">
            <w:pPr>
              <w:jc w:val="center"/>
            </w:pPr>
            <w:r>
              <w:t>90</w:t>
            </w:r>
          </w:p>
        </w:tc>
      </w:tr>
      <w:tr w14:paraId="43A3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338C630">
            <w:pPr>
              <w:jc w:val="center"/>
            </w:pPr>
            <w:r>
              <w:t>机械收割费用(元/亩)</w:t>
            </w:r>
          </w:p>
        </w:tc>
        <w:tc>
          <w:tcPr>
            <w:tcW w:w="1135" w:type="dxa"/>
          </w:tcPr>
          <w:p w14:paraId="0D0E4692">
            <w:pPr>
              <w:jc w:val="center"/>
            </w:pPr>
            <w:r>
              <w:t>100</w:t>
            </w:r>
          </w:p>
        </w:tc>
        <w:tc>
          <w:tcPr>
            <w:tcW w:w="1133" w:type="dxa"/>
          </w:tcPr>
          <w:p w14:paraId="5691576B">
            <w:pPr>
              <w:jc w:val="center"/>
            </w:pPr>
            <w:r>
              <w:t>--</w:t>
            </w:r>
          </w:p>
        </w:tc>
        <w:tc>
          <w:tcPr>
            <w:tcW w:w="1113" w:type="dxa"/>
          </w:tcPr>
          <w:p w14:paraId="22403207">
            <w:pPr>
              <w:jc w:val="center"/>
            </w:pPr>
            <w:r>
              <w:t>130</w:t>
            </w:r>
          </w:p>
        </w:tc>
        <w:tc>
          <w:tcPr>
            <w:tcW w:w="951" w:type="dxa"/>
          </w:tcPr>
          <w:p w14:paraId="4AA6997D">
            <w:pPr>
              <w:jc w:val="center"/>
            </w:pPr>
            <w:r>
              <w:t>--</w:t>
            </w:r>
          </w:p>
        </w:tc>
      </w:tr>
      <w:tr w14:paraId="23AC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5066FF60">
            <w:pPr>
              <w:jc w:val="center"/>
            </w:pPr>
            <w:r>
              <w:t>机械运输费用（元/亩）</w:t>
            </w:r>
          </w:p>
        </w:tc>
        <w:tc>
          <w:tcPr>
            <w:tcW w:w="1135" w:type="dxa"/>
          </w:tcPr>
          <w:p w14:paraId="7F558E30">
            <w:pPr>
              <w:jc w:val="center"/>
            </w:pPr>
            <w:r>
              <w:t>10</w:t>
            </w:r>
          </w:p>
        </w:tc>
        <w:tc>
          <w:tcPr>
            <w:tcW w:w="1133" w:type="dxa"/>
          </w:tcPr>
          <w:p w14:paraId="4BF06B1B">
            <w:pPr>
              <w:jc w:val="center"/>
            </w:pPr>
            <w:r>
              <w:t>10</w:t>
            </w:r>
          </w:p>
        </w:tc>
        <w:tc>
          <w:tcPr>
            <w:tcW w:w="1113" w:type="dxa"/>
          </w:tcPr>
          <w:p w14:paraId="3CB77CD3">
            <w:pPr>
              <w:jc w:val="center"/>
            </w:pPr>
            <w:r>
              <w:t>30</w:t>
            </w:r>
          </w:p>
        </w:tc>
        <w:tc>
          <w:tcPr>
            <w:tcW w:w="951" w:type="dxa"/>
          </w:tcPr>
          <w:p w14:paraId="143A94A5">
            <w:pPr>
              <w:jc w:val="center"/>
            </w:pPr>
            <w:r>
              <w:t>10</w:t>
            </w:r>
          </w:p>
        </w:tc>
      </w:tr>
      <w:tr w14:paraId="4C38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70C7A0CD">
            <w:pPr>
              <w:jc w:val="center"/>
            </w:pPr>
            <w:r>
              <w:t>抽水灌溉费用（元/亩）</w:t>
            </w:r>
          </w:p>
        </w:tc>
        <w:tc>
          <w:tcPr>
            <w:tcW w:w="1135" w:type="dxa"/>
          </w:tcPr>
          <w:p w14:paraId="3625F231">
            <w:pPr>
              <w:jc w:val="center"/>
            </w:pPr>
            <w:r>
              <w:t>30</w:t>
            </w:r>
          </w:p>
        </w:tc>
        <w:tc>
          <w:tcPr>
            <w:tcW w:w="1133" w:type="dxa"/>
          </w:tcPr>
          <w:p w14:paraId="6197380F">
            <w:pPr>
              <w:jc w:val="center"/>
            </w:pPr>
            <w:r>
              <w:t>10</w:t>
            </w:r>
          </w:p>
        </w:tc>
        <w:tc>
          <w:tcPr>
            <w:tcW w:w="1113" w:type="dxa"/>
          </w:tcPr>
          <w:p w14:paraId="1898F7DC">
            <w:pPr>
              <w:jc w:val="center"/>
            </w:pPr>
            <w:r>
              <w:t>60</w:t>
            </w:r>
          </w:p>
        </w:tc>
        <w:tc>
          <w:tcPr>
            <w:tcW w:w="951" w:type="dxa"/>
          </w:tcPr>
          <w:p w14:paraId="12753785">
            <w:pPr>
              <w:jc w:val="center"/>
            </w:pPr>
            <w:r>
              <w:t>10</w:t>
            </w:r>
          </w:p>
        </w:tc>
      </w:tr>
      <w:tr w14:paraId="7E35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05578D4B">
            <w:pPr>
              <w:jc w:val="center"/>
            </w:pPr>
            <w:r>
              <w:t>人工费用（元/亩）</w:t>
            </w:r>
          </w:p>
        </w:tc>
        <w:tc>
          <w:tcPr>
            <w:tcW w:w="1135" w:type="dxa"/>
          </w:tcPr>
          <w:p w14:paraId="74C621D1">
            <w:pPr>
              <w:jc w:val="center"/>
            </w:pPr>
            <w:r>
              <w:t>80</w:t>
            </w:r>
          </w:p>
        </w:tc>
        <w:tc>
          <w:tcPr>
            <w:tcW w:w="1133" w:type="dxa"/>
          </w:tcPr>
          <w:p w14:paraId="2265E6AA">
            <w:pPr>
              <w:jc w:val="center"/>
            </w:pPr>
            <w:r>
              <w:t>100</w:t>
            </w:r>
          </w:p>
        </w:tc>
        <w:tc>
          <w:tcPr>
            <w:tcW w:w="1113" w:type="dxa"/>
          </w:tcPr>
          <w:p w14:paraId="3D0598F7">
            <w:pPr>
              <w:jc w:val="center"/>
            </w:pPr>
            <w:r>
              <w:t>100</w:t>
            </w:r>
          </w:p>
        </w:tc>
        <w:tc>
          <w:tcPr>
            <w:tcW w:w="951" w:type="dxa"/>
          </w:tcPr>
          <w:p w14:paraId="5A385465">
            <w:pPr>
              <w:jc w:val="center"/>
            </w:pPr>
            <w:r>
              <w:t>100</w:t>
            </w:r>
          </w:p>
        </w:tc>
      </w:tr>
      <w:tr w14:paraId="2B6F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1BF4FD96">
            <w:pPr>
              <w:jc w:val="center"/>
            </w:pPr>
            <w:r>
              <w:t>亩均投入（元）</w:t>
            </w:r>
          </w:p>
        </w:tc>
        <w:tc>
          <w:tcPr>
            <w:tcW w:w="1135" w:type="dxa"/>
          </w:tcPr>
          <w:p w14:paraId="065A2B7D">
            <w:pPr>
              <w:jc w:val="center"/>
            </w:pPr>
            <w:r>
              <w:t>560</w:t>
            </w:r>
          </w:p>
        </w:tc>
        <w:tc>
          <w:tcPr>
            <w:tcW w:w="1133" w:type="dxa"/>
          </w:tcPr>
          <w:p w14:paraId="5FE24C58">
            <w:pPr>
              <w:jc w:val="center"/>
            </w:pPr>
            <w:r>
              <w:t>350</w:t>
            </w:r>
          </w:p>
        </w:tc>
        <w:tc>
          <w:tcPr>
            <w:tcW w:w="1113" w:type="dxa"/>
          </w:tcPr>
          <w:p w14:paraId="175D14DE">
            <w:pPr>
              <w:jc w:val="center"/>
            </w:pPr>
            <w:r>
              <w:t>700</w:t>
            </w:r>
          </w:p>
        </w:tc>
        <w:tc>
          <w:tcPr>
            <w:tcW w:w="951" w:type="dxa"/>
          </w:tcPr>
          <w:p w14:paraId="4A99B326">
            <w:pPr>
              <w:jc w:val="center"/>
            </w:pPr>
            <w:r>
              <w:t>350</w:t>
            </w:r>
          </w:p>
        </w:tc>
      </w:tr>
    </w:tbl>
    <w:p w14:paraId="64E6710D">
      <w:pPr>
        <w:pStyle w:val="180"/>
        <w:ind w:firstLine="480"/>
      </w:pPr>
      <w:r>
        <w:rPr>
          <w:rFonts w:hint="eastAsia"/>
        </w:rPr>
        <w:t>（3）</w:t>
      </w:r>
      <w:r>
        <w:t>年纯收益</w:t>
      </w:r>
    </w:p>
    <w:p w14:paraId="01E7C8F8">
      <w:pPr>
        <w:adjustRightInd w:val="0"/>
        <w:snapToGrid w:val="0"/>
        <w:spacing w:line="480" w:lineRule="exact"/>
        <w:ind w:firstLine="480" w:firstLineChars="200"/>
        <w:rPr>
          <w:sz w:val="24"/>
        </w:rPr>
      </w:pPr>
      <w:r>
        <w:rPr>
          <w:sz w:val="24"/>
        </w:rPr>
        <w:t>国有农用地年纯收益为年总收益与年总费用之差，即：</w:t>
      </w:r>
    </w:p>
    <w:p w14:paraId="183782B6">
      <w:pPr>
        <w:adjustRightInd w:val="0"/>
        <w:snapToGrid w:val="0"/>
        <w:spacing w:line="480" w:lineRule="exact"/>
        <w:ind w:firstLine="480" w:firstLineChars="200"/>
        <w:rPr>
          <w:sz w:val="24"/>
        </w:rPr>
      </w:pPr>
      <w:r>
        <w:rPr>
          <w:sz w:val="24"/>
        </w:rPr>
        <w:t>年纯收益=年总收益-生产成本</w:t>
      </w:r>
    </w:p>
    <w:p w14:paraId="0A8076BF">
      <w:pPr>
        <w:adjustRightInd w:val="0"/>
        <w:snapToGrid w:val="0"/>
        <w:spacing w:line="480" w:lineRule="exact"/>
        <w:ind w:firstLine="480" w:firstLineChars="200"/>
        <w:rPr>
          <w:sz w:val="24"/>
        </w:rPr>
      </w:pPr>
      <w:r>
        <w:rPr>
          <w:sz w:val="24"/>
        </w:rPr>
        <w:t>具体鄂州市国有农用地年纯收益见下表：</w:t>
      </w:r>
    </w:p>
    <w:p w14:paraId="35897AD3">
      <w:pPr>
        <w:ind w:firstLine="422"/>
        <w:jc w:val="center"/>
        <w:rPr>
          <w:b/>
          <w:szCs w:val="21"/>
        </w:rPr>
      </w:pPr>
      <w:r>
        <w:rPr>
          <w:b/>
          <w:szCs w:val="21"/>
        </w:rPr>
        <w:t>表</w:t>
      </w:r>
      <w:r>
        <w:rPr>
          <w:rFonts w:hint="eastAsia"/>
          <w:b/>
          <w:szCs w:val="21"/>
        </w:rPr>
        <w:t>4-6</w:t>
      </w:r>
      <w:r>
        <w:rPr>
          <w:b/>
          <w:szCs w:val="21"/>
        </w:rPr>
        <w:t>鄂州市国有农用地年亩均年纯收益（收益还原法）</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591"/>
        <w:gridCol w:w="2651"/>
        <w:gridCol w:w="2464"/>
      </w:tblGrid>
      <w:tr w14:paraId="6E45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1" w:type="dxa"/>
            <w:gridSpan w:val="2"/>
            <w:vAlign w:val="center"/>
          </w:tcPr>
          <w:p w14:paraId="0D145BCD">
            <w:pPr>
              <w:jc w:val="center"/>
            </w:pPr>
            <w:r>
              <w:t>级别</w:t>
            </w:r>
          </w:p>
        </w:tc>
        <w:tc>
          <w:tcPr>
            <w:tcW w:w="2651" w:type="dxa"/>
            <w:vAlign w:val="center"/>
          </w:tcPr>
          <w:p w14:paraId="73231410">
            <w:pPr>
              <w:jc w:val="center"/>
            </w:pPr>
            <w:r>
              <w:rPr>
                <w:rFonts w:hint="eastAsia" w:ascii="宋体" w:hAnsi="宋体" w:cs="宋体"/>
              </w:rPr>
              <w:t>Ⅰ</w:t>
            </w:r>
            <w:r>
              <w:t>级</w:t>
            </w:r>
          </w:p>
        </w:tc>
        <w:tc>
          <w:tcPr>
            <w:tcW w:w="2464" w:type="dxa"/>
            <w:vAlign w:val="center"/>
          </w:tcPr>
          <w:p w14:paraId="6684F980">
            <w:pPr>
              <w:jc w:val="center"/>
            </w:pPr>
            <w:r>
              <w:rPr>
                <w:rFonts w:hint="eastAsia" w:ascii="宋体" w:hAnsi="宋体" w:cs="宋体"/>
              </w:rPr>
              <w:t>Ⅱ</w:t>
            </w:r>
            <w:r>
              <w:t>级</w:t>
            </w:r>
          </w:p>
        </w:tc>
      </w:tr>
      <w:tr w14:paraId="770B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restart"/>
            <w:vAlign w:val="center"/>
          </w:tcPr>
          <w:p w14:paraId="1C798200">
            <w:pPr>
              <w:jc w:val="center"/>
            </w:pPr>
            <w:r>
              <w:t>亩均年总收益（元）</w:t>
            </w:r>
          </w:p>
        </w:tc>
        <w:tc>
          <w:tcPr>
            <w:tcW w:w="1591" w:type="dxa"/>
            <w:vAlign w:val="center"/>
          </w:tcPr>
          <w:p w14:paraId="72D9E24A">
            <w:pPr>
              <w:jc w:val="center"/>
            </w:pPr>
            <w:r>
              <w:t>最大值</w:t>
            </w:r>
          </w:p>
        </w:tc>
        <w:tc>
          <w:tcPr>
            <w:tcW w:w="2651" w:type="dxa"/>
            <w:vAlign w:val="center"/>
          </w:tcPr>
          <w:p w14:paraId="61DA7AE0">
            <w:pPr>
              <w:jc w:val="center"/>
            </w:pPr>
            <w:r>
              <w:t>2432</w:t>
            </w:r>
          </w:p>
        </w:tc>
        <w:tc>
          <w:tcPr>
            <w:tcW w:w="2464" w:type="dxa"/>
            <w:vAlign w:val="center"/>
          </w:tcPr>
          <w:p w14:paraId="5F0F57E3">
            <w:pPr>
              <w:jc w:val="center"/>
            </w:pPr>
            <w:r>
              <w:t>2010</w:t>
            </w:r>
          </w:p>
        </w:tc>
      </w:tr>
      <w:tr w14:paraId="2F61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vAlign w:val="center"/>
          </w:tcPr>
          <w:p w14:paraId="26D15518">
            <w:pPr>
              <w:jc w:val="center"/>
            </w:pPr>
          </w:p>
        </w:tc>
        <w:tc>
          <w:tcPr>
            <w:tcW w:w="1591" w:type="dxa"/>
            <w:vAlign w:val="center"/>
          </w:tcPr>
          <w:p w14:paraId="5998399C">
            <w:pPr>
              <w:jc w:val="center"/>
            </w:pPr>
            <w:r>
              <w:t>最小值</w:t>
            </w:r>
          </w:p>
        </w:tc>
        <w:tc>
          <w:tcPr>
            <w:tcW w:w="2651" w:type="dxa"/>
            <w:vAlign w:val="center"/>
          </w:tcPr>
          <w:p w14:paraId="2989A665">
            <w:pPr>
              <w:jc w:val="center"/>
            </w:pPr>
            <w:r>
              <w:t>1807</w:t>
            </w:r>
          </w:p>
        </w:tc>
        <w:tc>
          <w:tcPr>
            <w:tcW w:w="2464" w:type="dxa"/>
            <w:vAlign w:val="center"/>
          </w:tcPr>
          <w:p w14:paraId="3984E0ED">
            <w:pPr>
              <w:jc w:val="center"/>
            </w:pPr>
            <w:r>
              <w:t>1308</w:t>
            </w:r>
          </w:p>
        </w:tc>
      </w:tr>
      <w:tr w14:paraId="3EBB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vAlign w:val="center"/>
          </w:tcPr>
          <w:p w14:paraId="76369DE5">
            <w:pPr>
              <w:jc w:val="center"/>
            </w:pPr>
          </w:p>
        </w:tc>
        <w:tc>
          <w:tcPr>
            <w:tcW w:w="1591" w:type="dxa"/>
            <w:vAlign w:val="center"/>
          </w:tcPr>
          <w:p w14:paraId="5EC9AACC">
            <w:pPr>
              <w:jc w:val="center"/>
            </w:pPr>
            <w:r>
              <w:t>均值</w:t>
            </w:r>
          </w:p>
        </w:tc>
        <w:tc>
          <w:tcPr>
            <w:tcW w:w="2651" w:type="dxa"/>
            <w:vAlign w:val="center"/>
          </w:tcPr>
          <w:p w14:paraId="291F342F">
            <w:pPr>
              <w:jc w:val="center"/>
            </w:pPr>
            <w:r>
              <w:t>2107</w:t>
            </w:r>
          </w:p>
        </w:tc>
        <w:tc>
          <w:tcPr>
            <w:tcW w:w="2464" w:type="dxa"/>
            <w:vAlign w:val="center"/>
          </w:tcPr>
          <w:p w14:paraId="658E74BF">
            <w:pPr>
              <w:jc w:val="center"/>
            </w:pPr>
            <w:r>
              <w:t>1683</w:t>
            </w:r>
          </w:p>
        </w:tc>
      </w:tr>
    </w:tbl>
    <w:p w14:paraId="12DDA628">
      <w:pPr>
        <w:pStyle w:val="180"/>
        <w:ind w:firstLine="480"/>
      </w:pPr>
      <w:r>
        <w:rPr>
          <w:rFonts w:hint="eastAsia"/>
        </w:rPr>
        <w:t>（4）</w:t>
      </w:r>
      <w:r>
        <w:t>计算土地价格</w:t>
      </w:r>
    </w:p>
    <w:p w14:paraId="46A8A64D">
      <w:pPr>
        <w:spacing w:line="360" w:lineRule="auto"/>
        <w:ind w:firstLine="480"/>
        <w:rPr>
          <w:sz w:val="24"/>
        </w:rPr>
      </w:pPr>
      <w:r>
        <w:rPr>
          <w:sz w:val="24"/>
        </w:rPr>
        <w:t>根据之前计算得到的土地纯收益与确定的土地还原率，可得到土地的无限年期价格为：</w:t>
      </w:r>
    </w:p>
    <w:p w14:paraId="77006AD2">
      <w:pPr>
        <w:spacing w:line="360" w:lineRule="auto"/>
        <w:jc w:val="center"/>
        <w:rPr>
          <w:sz w:val="24"/>
        </w:rPr>
      </w:pPr>
      <w:r>
        <w:rPr>
          <w:sz w:val="24"/>
        </w:rPr>
        <w:t>土地价格=纯收益/土地还原率</w:t>
      </w:r>
    </w:p>
    <w:p w14:paraId="5A2A8B4E">
      <w:pPr>
        <w:spacing w:line="360" w:lineRule="auto"/>
        <w:ind w:firstLine="480"/>
        <w:rPr>
          <w:sz w:val="24"/>
        </w:rPr>
      </w:pPr>
      <w:r>
        <w:rPr>
          <w:sz w:val="24"/>
        </w:rPr>
        <w:t>再根据土地还原率与使用年期，求得土地的有限使用年期（30年）价格为：</w:t>
      </w:r>
    </w:p>
    <w:p w14:paraId="5E6F7EDE">
      <w:pPr>
        <w:spacing w:line="360" w:lineRule="auto"/>
        <w:ind w:firstLine="480"/>
        <w:rPr>
          <w:sz w:val="24"/>
        </w:rPr>
      </w:pPr>
      <m:oMathPara>
        <m:oMath>
          <m:r>
            <m:rPr>
              <m:sty m:val="p"/>
            </m:rPr>
            <w:rPr>
              <w:rFonts w:ascii="Cambria Math" w:hAnsi="Cambria Math"/>
              <w:sz w:val="24"/>
            </w:rPr>
            <m:t>有限年期价格=无限年期价格×</m:t>
          </m:r>
          <m:d>
            <m:dPr>
              <m:begChr m:val="["/>
              <m:endChr m:val="]"/>
              <m:ctrlPr>
                <w:rPr>
                  <w:rFonts w:ascii="Cambria Math" w:hAnsi="Cambria Math"/>
                  <w:sz w:val="24"/>
                </w:rPr>
              </m:ctrlPr>
            </m:dPr>
            <m:e>
              <m:r>
                <m:rPr/>
                <w:rPr>
                  <w:rFonts w:ascii="Cambria Math" w:hAnsi="Cambria Math"/>
                  <w:sz w:val="24"/>
                </w:rPr>
                <m:t>1−</m:t>
              </m:r>
              <m:f>
                <m:fPr>
                  <m:ctrlPr>
                    <w:rPr>
                      <w:rFonts w:ascii="Cambria Math" w:hAnsi="Cambria Math"/>
                      <w:i/>
                      <w:sz w:val="24"/>
                    </w:rPr>
                  </m:ctrlPr>
                </m:fPr>
                <m:num>
                  <m:r>
                    <m:rPr/>
                    <w:rPr>
                      <w:rFonts w:ascii="Cambria Math" w:hAnsi="Cambria Math"/>
                      <w:sz w:val="24"/>
                    </w:rPr>
                    <m:t>1</m:t>
                  </m:r>
                  <m:ctrlPr>
                    <w:rPr>
                      <w:rFonts w:ascii="Cambria Math" w:hAnsi="Cambria Math"/>
                      <w:i/>
                      <w:sz w:val="24"/>
                    </w:rPr>
                  </m:ctrlPr>
                </m:num>
                <m:den>
                  <m:sSup>
                    <m:sSupPr>
                      <m:ctrlPr>
                        <w:rPr>
                          <w:rFonts w:ascii="Cambria Math" w:hAnsi="Cambria Math"/>
                          <w:i/>
                          <w:sz w:val="24"/>
                        </w:rPr>
                      </m:ctrlPr>
                    </m:sSupPr>
                    <m:e>
                      <m:r>
                        <m:rPr/>
                        <w:rPr>
                          <w:rFonts w:ascii="Cambria Math" w:hAnsi="Cambria Math"/>
                          <w:sz w:val="24"/>
                        </w:rPr>
                        <m:t>(1+r)</m:t>
                      </m:r>
                      <m:ctrlPr>
                        <w:rPr>
                          <w:rFonts w:ascii="Cambria Math" w:hAnsi="Cambria Math"/>
                          <w:i/>
                          <w:sz w:val="24"/>
                        </w:rPr>
                      </m:ctrlPr>
                    </m:e>
                    <m:sup>
                      <m:r>
                        <m:rPr/>
                        <w:rPr>
                          <w:rFonts w:ascii="Cambria Math" w:hAnsi="Cambria Math"/>
                          <w:sz w:val="24"/>
                        </w:rPr>
                        <m:t>n</m:t>
                      </m:r>
                      <m:ctrlPr>
                        <w:rPr>
                          <w:rFonts w:ascii="Cambria Math" w:hAnsi="Cambria Math"/>
                          <w:i/>
                          <w:sz w:val="24"/>
                        </w:rPr>
                      </m:ctrlPr>
                    </m:sup>
                  </m:sSup>
                  <m:ctrlPr>
                    <w:rPr>
                      <w:rFonts w:ascii="Cambria Math" w:hAnsi="Cambria Math"/>
                      <w:i/>
                      <w:sz w:val="24"/>
                    </w:rPr>
                  </m:ctrlPr>
                </m:den>
              </m:f>
              <m:ctrlPr>
                <w:rPr>
                  <w:rFonts w:ascii="Cambria Math" w:hAnsi="Cambria Math"/>
                  <w:sz w:val="24"/>
                </w:rPr>
              </m:ctrlPr>
            </m:e>
          </m:d>
        </m:oMath>
      </m:oMathPara>
    </w:p>
    <w:p w14:paraId="423458FD">
      <w:pPr>
        <w:spacing w:before="156" w:beforeLines="50"/>
        <w:ind w:firstLine="420"/>
        <w:jc w:val="center"/>
        <w:rPr>
          <w:b/>
          <w:szCs w:val="21"/>
        </w:rPr>
      </w:pPr>
      <w:r>
        <w:rPr>
          <w:b/>
          <w:szCs w:val="21"/>
        </w:rPr>
        <w:t>表</w:t>
      </w:r>
      <w:r>
        <w:rPr>
          <w:rFonts w:hint="eastAsia"/>
          <w:b/>
          <w:szCs w:val="21"/>
        </w:rPr>
        <w:t>4-7</w:t>
      </w:r>
      <w:r>
        <w:rPr>
          <w:b/>
          <w:szCs w:val="21"/>
        </w:rPr>
        <w:t>鄂州市国有农用地各级别土地价格</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591"/>
        <w:gridCol w:w="2651"/>
        <w:gridCol w:w="2464"/>
      </w:tblGrid>
      <w:tr w14:paraId="4EF9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1" w:type="dxa"/>
            <w:gridSpan w:val="2"/>
            <w:vAlign w:val="center"/>
          </w:tcPr>
          <w:p w14:paraId="2AD4F4A4">
            <w:pPr>
              <w:jc w:val="center"/>
            </w:pPr>
            <w:r>
              <w:t>级别</w:t>
            </w:r>
          </w:p>
        </w:tc>
        <w:tc>
          <w:tcPr>
            <w:tcW w:w="2651" w:type="dxa"/>
            <w:vAlign w:val="center"/>
          </w:tcPr>
          <w:p w14:paraId="7DE1019D">
            <w:pPr>
              <w:jc w:val="center"/>
            </w:pPr>
            <w:r>
              <w:rPr>
                <w:rFonts w:hint="eastAsia" w:ascii="宋体" w:hAnsi="宋体" w:cs="宋体"/>
              </w:rPr>
              <w:t>Ⅰ</w:t>
            </w:r>
            <w:r>
              <w:t>级</w:t>
            </w:r>
          </w:p>
        </w:tc>
        <w:tc>
          <w:tcPr>
            <w:tcW w:w="2464" w:type="dxa"/>
            <w:vAlign w:val="center"/>
          </w:tcPr>
          <w:p w14:paraId="4938A9B3">
            <w:pPr>
              <w:jc w:val="center"/>
            </w:pPr>
            <w:r>
              <w:rPr>
                <w:rFonts w:hint="eastAsia" w:ascii="宋体" w:hAnsi="宋体" w:cs="宋体"/>
              </w:rPr>
              <w:t>Ⅱ</w:t>
            </w:r>
            <w:r>
              <w:t>级</w:t>
            </w:r>
          </w:p>
        </w:tc>
      </w:tr>
      <w:tr w14:paraId="3B72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restart"/>
            <w:vAlign w:val="center"/>
          </w:tcPr>
          <w:p w14:paraId="0895F346">
            <w:pPr>
              <w:jc w:val="center"/>
            </w:pPr>
            <w:r>
              <w:t>总地价</w:t>
            </w:r>
          </w:p>
          <w:p w14:paraId="10AFFEFE">
            <w:pPr>
              <w:jc w:val="center"/>
            </w:pPr>
            <w:r>
              <w:rPr>
                <w:rFonts w:hint="eastAsia"/>
              </w:rPr>
              <w:t>（</w:t>
            </w:r>
            <w:r>
              <w:t>元/亩</w:t>
            </w:r>
            <w:r>
              <w:rPr>
                <w:rFonts w:hint="eastAsia"/>
              </w:rPr>
              <w:t>）</w:t>
            </w:r>
          </w:p>
        </w:tc>
        <w:tc>
          <w:tcPr>
            <w:tcW w:w="1591" w:type="dxa"/>
            <w:vAlign w:val="center"/>
          </w:tcPr>
          <w:p w14:paraId="2C54CEF2">
            <w:pPr>
              <w:jc w:val="center"/>
            </w:pPr>
            <w:r>
              <w:t>最大值</w:t>
            </w:r>
          </w:p>
        </w:tc>
        <w:tc>
          <w:tcPr>
            <w:tcW w:w="2651" w:type="dxa"/>
            <w:vAlign w:val="center"/>
          </w:tcPr>
          <w:p w14:paraId="154EF0EA">
            <w:pPr>
              <w:jc w:val="center"/>
            </w:pPr>
            <w:r>
              <w:t xml:space="preserve">41448 </w:t>
            </w:r>
          </w:p>
        </w:tc>
        <w:tc>
          <w:tcPr>
            <w:tcW w:w="2464" w:type="dxa"/>
            <w:vAlign w:val="center"/>
          </w:tcPr>
          <w:p w14:paraId="4B24CCB8">
            <w:pPr>
              <w:jc w:val="center"/>
            </w:pPr>
            <w:r>
              <w:t xml:space="preserve">34256 </w:t>
            </w:r>
          </w:p>
        </w:tc>
      </w:tr>
      <w:tr w14:paraId="62CD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vAlign w:val="center"/>
          </w:tcPr>
          <w:p w14:paraId="01ACF21B">
            <w:pPr>
              <w:jc w:val="center"/>
            </w:pPr>
          </w:p>
        </w:tc>
        <w:tc>
          <w:tcPr>
            <w:tcW w:w="1591" w:type="dxa"/>
            <w:vAlign w:val="center"/>
          </w:tcPr>
          <w:p w14:paraId="72B21168">
            <w:pPr>
              <w:jc w:val="center"/>
            </w:pPr>
            <w:r>
              <w:t>最小值</w:t>
            </w:r>
          </w:p>
        </w:tc>
        <w:tc>
          <w:tcPr>
            <w:tcW w:w="2651" w:type="dxa"/>
            <w:vAlign w:val="center"/>
          </w:tcPr>
          <w:p w14:paraId="0BB50D84">
            <w:pPr>
              <w:jc w:val="center"/>
            </w:pPr>
            <w:r>
              <w:t xml:space="preserve">30796 </w:t>
            </w:r>
          </w:p>
        </w:tc>
        <w:tc>
          <w:tcPr>
            <w:tcW w:w="2464" w:type="dxa"/>
            <w:vAlign w:val="center"/>
          </w:tcPr>
          <w:p w14:paraId="227E1E8A">
            <w:pPr>
              <w:jc w:val="center"/>
            </w:pPr>
            <w:r>
              <w:t xml:space="preserve">22292 </w:t>
            </w:r>
          </w:p>
        </w:tc>
      </w:tr>
      <w:tr w14:paraId="42FE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vAlign w:val="center"/>
          </w:tcPr>
          <w:p w14:paraId="2F5ABEF2">
            <w:pPr>
              <w:jc w:val="center"/>
            </w:pPr>
          </w:p>
        </w:tc>
        <w:tc>
          <w:tcPr>
            <w:tcW w:w="1591" w:type="dxa"/>
            <w:vAlign w:val="center"/>
          </w:tcPr>
          <w:p w14:paraId="2232950F">
            <w:pPr>
              <w:jc w:val="center"/>
            </w:pPr>
            <w:r>
              <w:t>均值</w:t>
            </w:r>
          </w:p>
        </w:tc>
        <w:tc>
          <w:tcPr>
            <w:tcW w:w="2651" w:type="dxa"/>
            <w:vAlign w:val="center"/>
          </w:tcPr>
          <w:p w14:paraId="14F057A9">
            <w:pPr>
              <w:jc w:val="center"/>
            </w:pPr>
            <w:r>
              <w:t xml:space="preserve">35909 </w:t>
            </w:r>
          </w:p>
        </w:tc>
        <w:tc>
          <w:tcPr>
            <w:tcW w:w="2464" w:type="dxa"/>
            <w:vAlign w:val="center"/>
          </w:tcPr>
          <w:p w14:paraId="5CC24C85">
            <w:pPr>
              <w:jc w:val="center"/>
            </w:pPr>
            <w:r>
              <w:t xml:space="preserve">28683 </w:t>
            </w:r>
          </w:p>
        </w:tc>
      </w:tr>
    </w:tbl>
    <w:p w14:paraId="24F54D40">
      <w:pPr>
        <w:pStyle w:val="4"/>
        <w:widowControl w:val="0"/>
        <w:tabs>
          <w:tab w:val="left" w:pos="720"/>
        </w:tabs>
        <w:spacing w:before="120" w:after="120" w:line="500" w:lineRule="exact"/>
        <w:ind w:left="826" w:hanging="826"/>
        <w:jc w:val="both"/>
        <w:rPr>
          <w:rFonts w:ascii="宋体" w:hAnsi="宋体"/>
          <w:sz w:val="24"/>
          <w:szCs w:val="24"/>
        </w:rPr>
      </w:pPr>
      <w:bookmarkStart w:id="210" w:name="_Toc47384639"/>
      <w:bookmarkStart w:id="211" w:name="_Toc535399950"/>
      <w:r>
        <w:rPr>
          <w:rFonts w:hint="eastAsia" w:ascii="宋体" w:hAnsi="宋体"/>
          <w:sz w:val="24"/>
          <w:szCs w:val="24"/>
        </w:rPr>
        <w:t>4.3</w:t>
      </w:r>
      <w:r>
        <w:rPr>
          <w:rFonts w:ascii="宋体" w:hAnsi="宋体"/>
          <w:sz w:val="24"/>
          <w:szCs w:val="24"/>
        </w:rPr>
        <w:t xml:space="preserve">.2 </w:t>
      </w:r>
      <w:r>
        <w:rPr>
          <w:rFonts w:hint="eastAsia" w:ascii="宋体" w:hAnsi="宋体"/>
          <w:sz w:val="24"/>
          <w:szCs w:val="24"/>
        </w:rPr>
        <w:t>市场比较法</w:t>
      </w:r>
      <w:bookmarkEnd w:id="210"/>
      <w:bookmarkEnd w:id="211"/>
    </w:p>
    <w:p w14:paraId="7CE86B3D">
      <w:pPr>
        <w:spacing w:line="500" w:lineRule="exact"/>
        <w:ind w:firstLine="482"/>
        <w:rPr>
          <w:sz w:val="24"/>
        </w:rPr>
      </w:pPr>
      <w:r>
        <w:rPr>
          <w:sz w:val="24"/>
        </w:rPr>
        <w:t>根据市鄂州国有农用地市场交易状况，自鄂州市</w:t>
      </w:r>
      <w:r>
        <w:rPr>
          <w:rFonts w:hint="eastAsia"/>
          <w:sz w:val="24"/>
        </w:rPr>
        <w:t>自然资源和规划局</w:t>
      </w:r>
      <w:r>
        <w:rPr>
          <w:sz w:val="24"/>
        </w:rPr>
        <w:t>网站上收集鄂州市耕地土地流转资料，在进行交易期日等因素修正后，得到鄂州市国有农用地价格。</w:t>
      </w:r>
    </w:p>
    <w:p w14:paraId="08016211">
      <w:pPr>
        <w:pStyle w:val="180"/>
        <w:ind w:firstLine="480"/>
      </w:pPr>
      <w:r>
        <w:rPr>
          <w:rFonts w:hint="eastAsia"/>
        </w:rPr>
        <w:t>（1）</w:t>
      </w:r>
      <w:r>
        <w:t>样点收集</w:t>
      </w:r>
    </w:p>
    <w:p w14:paraId="640DE695">
      <w:pPr>
        <w:spacing w:line="500" w:lineRule="exact"/>
        <w:ind w:firstLine="482"/>
        <w:rPr>
          <w:kern w:val="28"/>
          <w:sz w:val="24"/>
        </w:rPr>
      </w:pPr>
      <w:r>
        <w:rPr>
          <w:kern w:val="28"/>
          <w:sz w:val="24"/>
        </w:rPr>
        <w:t>本次鄂州市国有农用地土地级别与基准地价评估共收集样点90个，剔出不合格样点4个，有效样点为86个。具体样点及流转价格与分布见表4-8。</w:t>
      </w:r>
    </w:p>
    <w:p w14:paraId="1127BEF5">
      <w:pPr>
        <w:ind w:firstLine="422"/>
        <w:jc w:val="center"/>
        <w:rPr>
          <w:b/>
          <w:szCs w:val="21"/>
        </w:rPr>
      </w:pPr>
      <w:r>
        <w:rPr>
          <w:b/>
          <w:szCs w:val="21"/>
        </w:rPr>
        <w:t xml:space="preserve">表4-8 </w:t>
      </w:r>
      <w:r>
        <w:rPr>
          <w:rFonts w:hint="eastAsia"/>
          <w:b/>
          <w:szCs w:val="21"/>
        </w:rPr>
        <w:t>鄂州市</w:t>
      </w:r>
      <w:r>
        <w:rPr>
          <w:b/>
          <w:szCs w:val="21"/>
        </w:rPr>
        <w:t>国有农用地样点信息表</w:t>
      </w:r>
    </w:p>
    <w:tbl>
      <w:tblPr>
        <w:tblStyle w:val="40"/>
        <w:tblW w:w="8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902"/>
        <w:gridCol w:w="589"/>
        <w:gridCol w:w="590"/>
        <w:gridCol w:w="841"/>
        <w:gridCol w:w="843"/>
        <w:gridCol w:w="841"/>
        <w:gridCol w:w="843"/>
        <w:gridCol w:w="811"/>
        <w:gridCol w:w="811"/>
      </w:tblGrid>
      <w:tr w14:paraId="1E3C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315" w:type="dxa"/>
            <w:gridSpan w:val="2"/>
            <w:vAlign w:val="center"/>
          </w:tcPr>
          <w:p w14:paraId="6C5E1678">
            <w:pPr>
              <w:spacing w:line="360" w:lineRule="auto"/>
              <w:jc w:val="center"/>
              <w:rPr>
                <w:szCs w:val="21"/>
              </w:rPr>
            </w:pPr>
            <w:r>
              <w:rPr>
                <w:szCs w:val="21"/>
              </w:rPr>
              <w:t>地区</w:t>
            </w:r>
          </w:p>
        </w:tc>
        <w:tc>
          <w:tcPr>
            <w:tcW w:w="1179" w:type="dxa"/>
            <w:gridSpan w:val="2"/>
            <w:vAlign w:val="center"/>
          </w:tcPr>
          <w:p w14:paraId="03DB1124">
            <w:pPr>
              <w:spacing w:line="360" w:lineRule="auto"/>
              <w:jc w:val="center"/>
              <w:rPr>
                <w:szCs w:val="21"/>
              </w:rPr>
            </w:pPr>
            <w:r>
              <w:rPr>
                <w:szCs w:val="21"/>
              </w:rPr>
              <w:t>鄂城区</w:t>
            </w:r>
          </w:p>
        </w:tc>
        <w:tc>
          <w:tcPr>
            <w:tcW w:w="1684" w:type="dxa"/>
            <w:gridSpan w:val="2"/>
            <w:vAlign w:val="center"/>
          </w:tcPr>
          <w:p w14:paraId="384EF755">
            <w:pPr>
              <w:spacing w:line="360" w:lineRule="auto"/>
              <w:jc w:val="center"/>
              <w:rPr>
                <w:szCs w:val="21"/>
              </w:rPr>
            </w:pPr>
            <w:r>
              <w:rPr>
                <w:szCs w:val="21"/>
              </w:rPr>
              <w:t>华容区</w:t>
            </w:r>
          </w:p>
        </w:tc>
        <w:tc>
          <w:tcPr>
            <w:tcW w:w="1684" w:type="dxa"/>
            <w:gridSpan w:val="2"/>
            <w:vAlign w:val="center"/>
          </w:tcPr>
          <w:p w14:paraId="3476A580">
            <w:pPr>
              <w:spacing w:line="360" w:lineRule="auto"/>
              <w:jc w:val="center"/>
              <w:rPr>
                <w:szCs w:val="21"/>
              </w:rPr>
            </w:pPr>
            <w:r>
              <w:rPr>
                <w:szCs w:val="21"/>
              </w:rPr>
              <w:t>梁子湖区</w:t>
            </w:r>
          </w:p>
        </w:tc>
        <w:tc>
          <w:tcPr>
            <w:tcW w:w="1622" w:type="dxa"/>
            <w:gridSpan w:val="2"/>
          </w:tcPr>
          <w:p w14:paraId="566819E5">
            <w:pPr>
              <w:spacing w:line="360" w:lineRule="auto"/>
              <w:jc w:val="center"/>
              <w:rPr>
                <w:szCs w:val="21"/>
              </w:rPr>
            </w:pPr>
            <w:r>
              <w:rPr>
                <w:szCs w:val="21"/>
              </w:rPr>
              <w:t>均值</w:t>
            </w:r>
          </w:p>
        </w:tc>
      </w:tr>
      <w:tr w14:paraId="3E17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315" w:type="dxa"/>
            <w:gridSpan w:val="2"/>
            <w:vAlign w:val="center"/>
          </w:tcPr>
          <w:p w14:paraId="46DF05C5">
            <w:pPr>
              <w:spacing w:line="360" w:lineRule="auto"/>
              <w:jc w:val="center"/>
              <w:rPr>
                <w:szCs w:val="21"/>
              </w:rPr>
            </w:pPr>
            <w:r>
              <w:rPr>
                <w:szCs w:val="21"/>
              </w:rPr>
              <w:t>样点数</w:t>
            </w:r>
          </w:p>
        </w:tc>
        <w:tc>
          <w:tcPr>
            <w:tcW w:w="1179" w:type="dxa"/>
            <w:gridSpan w:val="2"/>
            <w:vAlign w:val="center"/>
          </w:tcPr>
          <w:p w14:paraId="055DCFFB">
            <w:pPr>
              <w:spacing w:line="360" w:lineRule="auto"/>
              <w:jc w:val="center"/>
              <w:rPr>
                <w:sz w:val="24"/>
              </w:rPr>
            </w:pPr>
            <w:r>
              <w:rPr>
                <w:sz w:val="24"/>
              </w:rPr>
              <w:t>7</w:t>
            </w:r>
          </w:p>
        </w:tc>
        <w:tc>
          <w:tcPr>
            <w:tcW w:w="1684" w:type="dxa"/>
            <w:gridSpan w:val="2"/>
            <w:vAlign w:val="center"/>
          </w:tcPr>
          <w:p w14:paraId="32752A79">
            <w:pPr>
              <w:spacing w:line="360" w:lineRule="auto"/>
              <w:jc w:val="center"/>
              <w:rPr>
                <w:sz w:val="24"/>
              </w:rPr>
            </w:pPr>
            <w:r>
              <w:rPr>
                <w:sz w:val="24"/>
              </w:rPr>
              <w:t>31</w:t>
            </w:r>
          </w:p>
        </w:tc>
        <w:tc>
          <w:tcPr>
            <w:tcW w:w="1684" w:type="dxa"/>
            <w:gridSpan w:val="2"/>
            <w:vAlign w:val="center"/>
          </w:tcPr>
          <w:p w14:paraId="61A2CBD6">
            <w:pPr>
              <w:spacing w:line="360" w:lineRule="auto"/>
              <w:jc w:val="center"/>
              <w:rPr>
                <w:sz w:val="24"/>
              </w:rPr>
            </w:pPr>
            <w:r>
              <w:rPr>
                <w:sz w:val="24"/>
              </w:rPr>
              <w:t>48</w:t>
            </w:r>
          </w:p>
        </w:tc>
        <w:tc>
          <w:tcPr>
            <w:tcW w:w="1622" w:type="dxa"/>
            <w:gridSpan w:val="2"/>
          </w:tcPr>
          <w:p w14:paraId="34BC1D5B">
            <w:pPr>
              <w:spacing w:line="360" w:lineRule="auto"/>
              <w:jc w:val="center"/>
              <w:rPr>
                <w:sz w:val="24"/>
              </w:rPr>
            </w:pPr>
            <w:r>
              <w:rPr>
                <w:sz w:val="24"/>
              </w:rPr>
              <w:t>--</w:t>
            </w:r>
          </w:p>
        </w:tc>
      </w:tr>
      <w:tr w14:paraId="393C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315" w:type="dxa"/>
            <w:gridSpan w:val="2"/>
            <w:vAlign w:val="center"/>
          </w:tcPr>
          <w:p w14:paraId="19D7A3C6">
            <w:pPr>
              <w:spacing w:line="360" w:lineRule="auto"/>
              <w:jc w:val="center"/>
              <w:rPr>
                <w:szCs w:val="21"/>
              </w:rPr>
            </w:pPr>
            <w:r>
              <w:rPr>
                <w:szCs w:val="21"/>
              </w:rPr>
              <w:t>级别</w:t>
            </w:r>
          </w:p>
        </w:tc>
        <w:tc>
          <w:tcPr>
            <w:tcW w:w="589" w:type="dxa"/>
            <w:vAlign w:val="center"/>
          </w:tcPr>
          <w:p w14:paraId="6B430AB9">
            <w:pPr>
              <w:spacing w:line="360" w:lineRule="auto"/>
              <w:jc w:val="center"/>
              <w:rPr>
                <w:sz w:val="24"/>
              </w:rPr>
            </w:pPr>
            <w:r>
              <w:rPr>
                <w:rFonts w:hint="eastAsia" w:ascii="宋体" w:hAnsi="宋体" w:cs="宋体"/>
                <w:sz w:val="24"/>
              </w:rPr>
              <w:t>Ⅰ</w:t>
            </w:r>
          </w:p>
        </w:tc>
        <w:tc>
          <w:tcPr>
            <w:tcW w:w="590" w:type="dxa"/>
            <w:vAlign w:val="center"/>
          </w:tcPr>
          <w:p w14:paraId="00777532">
            <w:pPr>
              <w:spacing w:line="360" w:lineRule="auto"/>
              <w:jc w:val="center"/>
              <w:rPr>
                <w:sz w:val="24"/>
              </w:rPr>
            </w:pPr>
            <w:r>
              <w:rPr>
                <w:rFonts w:hint="eastAsia" w:ascii="宋体" w:hAnsi="宋体" w:cs="宋体"/>
                <w:sz w:val="24"/>
              </w:rPr>
              <w:t>Ⅱ</w:t>
            </w:r>
          </w:p>
        </w:tc>
        <w:tc>
          <w:tcPr>
            <w:tcW w:w="841" w:type="dxa"/>
            <w:vAlign w:val="center"/>
          </w:tcPr>
          <w:p w14:paraId="69ABC250">
            <w:pPr>
              <w:spacing w:line="360" w:lineRule="auto"/>
              <w:jc w:val="center"/>
              <w:rPr>
                <w:sz w:val="24"/>
              </w:rPr>
            </w:pPr>
            <w:r>
              <w:rPr>
                <w:rFonts w:hint="eastAsia" w:ascii="宋体" w:hAnsi="宋体" w:cs="宋体"/>
                <w:sz w:val="24"/>
              </w:rPr>
              <w:t>Ⅰ</w:t>
            </w:r>
          </w:p>
        </w:tc>
        <w:tc>
          <w:tcPr>
            <w:tcW w:w="843" w:type="dxa"/>
            <w:vAlign w:val="center"/>
          </w:tcPr>
          <w:p w14:paraId="20C7695A">
            <w:pPr>
              <w:spacing w:line="360" w:lineRule="auto"/>
              <w:jc w:val="center"/>
              <w:rPr>
                <w:sz w:val="24"/>
              </w:rPr>
            </w:pPr>
            <w:r>
              <w:rPr>
                <w:rFonts w:hint="eastAsia" w:ascii="宋体" w:hAnsi="宋体" w:cs="宋体"/>
                <w:sz w:val="24"/>
              </w:rPr>
              <w:t>Ⅱ</w:t>
            </w:r>
          </w:p>
        </w:tc>
        <w:tc>
          <w:tcPr>
            <w:tcW w:w="841" w:type="dxa"/>
            <w:vAlign w:val="center"/>
          </w:tcPr>
          <w:p w14:paraId="6258F6EF">
            <w:pPr>
              <w:spacing w:line="360" w:lineRule="auto"/>
              <w:jc w:val="center"/>
              <w:rPr>
                <w:sz w:val="24"/>
              </w:rPr>
            </w:pPr>
            <w:r>
              <w:rPr>
                <w:rFonts w:hint="eastAsia" w:ascii="宋体" w:hAnsi="宋体" w:cs="宋体"/>
                <w:sz w:val="24"/>
              </w:rPr>
              <w:t>Ⅰ</w:t>
            </w:r>
          </w:p>
        </w:tc>
        <w:tc>
          <w:tcPr>
            <w:tcW w:w="843" w:type="dxa"/>
            <w:vAlign w:val="center"/>
          </w:tcPr>
          <w:p w14:paraId="6510244E">
            <w:pPr>
              <w:spacing w:line="360" w:lineRule="auto"/>
              <w:jc w:val="center"/>
              <w:rPr>
                <w:sz w:val="24"/>
              </w:rPr>
            </w:pPr>
            <w:r>
              <w:rPr>
                <w:rFonts w:hint="eastAsia" w:ascii="宋体" w:hAnsi="宋体" w:cs="宋体"/>
                <w:sz w:val="24"/>
              </w:rPr>
              <w:t>Ⅱ</w:t>
            </w:r>
          </w:p>
        </w:tc>
        <w:tc>
          <w:tcPr>
            <w:tcW w:w="811" w:type="dxa"/>
            <w:vAlign w:val="center"/>
          </w:tcPr>
          <w:p w14:paraId="0CF5D136">
            <w:pPr>
              <w:spacing w:line="360" w:lineRule="auto"/>
              <w:jc w:val="center"/>
              <w:rPr>
                <w:sz w:val="24"/>
              </w:rPr>
            </w:pPr>
            <w:r>
              <w:rPr>
                <w:rFonts w:hint="eastAsia" w:ascii="宋体" w:hAnsi="宋体" w:cs="宋体"/>
                <w:sz w:val="24"/>
              </w:rPr>
              <w:t>Ⅰ</w:t>
            </w:r>
          </w:p>
        </w:tc>
        <w:tc>
          <w:tcPr>
            <w:tcW w:w="811" w:type="dxa"/>
            <w:vAlign w:val="center"/>
          </w:tcPr>
          <w:p w14:paraId="27D861C2">
            <w:pPr>
              <w:spacing w:line="360" w:lineRule="auto"/>
              <w:jc w:val="center"/>
              <w:rPr>
                <w:sz w:val="24"/>
              </w:rPr>
            </w:pPr>
            <w:r>
              <w:rPr>
                <w:rFonts w:hint="eastAsia" w:ascii="宋体" w:hAnsi="宋体" w:cs="宋体"/>
                <w:sz w:val="24"/>
              </w:rPr>
              <w:t>Ⅱ</w:t>
            </w:r>
          </w:p>
        </w:tc>
      </w:tr>
      <w:tr w14:paraId="3D29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413" w:type="dxa"/>
            <w:vMerge w:val="restart"/>
            <w:vAlign w:val="center"/>
          </w:tcPr>
          <w:p w14:paraId="576ED29B">
            <w:pPr>
              <w:spacing w:line="360" w:lineRule="auto"/>
              <w:jc w:val="center"/>
              <w:rPr>
                <w:szCs w:val="21"/>
              </w:rPr>
            </w:pPr>
            <w:r>
              <w:rPr>
                <w:szCs w:val="21"/>
              </w:rPr>
              <w:t>土地流</w:t>
            </w:r>
          </w:p>
          <w:p w14:paraId="45F7983E">
            <w:pPr>
              <w:spacing w:line="360" w:lineRule="auto"/>
              <w:jc w:val="center"/>
              <w:rPr>
                <w:szCs w:val="21"/>
              </w:rPr>
            </w:pPr>
            <w:r>
              <w:rPr>
                <w:szCs w:val="21"/>
              </w:rPr>
              <w:t>转价格</w:t>
            </w:r>
          </w:p>
          <w:p w14:paraId="748C9164">
            <w:pPr>
              <w:spacing w:line="360" w:lineRule="auto"/>
              <w:jc w:val="center"/>
              <w:rPr>
                <w:szCs w:val="21"/>
              </w:rPr>
            </w:pPr>
            <w:r>
              <w:rPr>
                <w:rFonts w:hint="eastAsia"/>
                <w:szCs w:val="21"/>
              </w:rPr>
              <w:t>（</w:t>
            </w:r>
            <w:r>
              <w:t>元/亩</w:t>
            </w:r>
            <w:r>
              <w:rPr>
                <w:rFonts w:hint="eastAsia"/>
              </w:rPr>
              <w:t>）</w:t>
            </w:r>
          </w:p>
        </w:tc>
        <w:tc>
          <w:tcPr>
            <w:tcW w:w="902" w:type="dxa"/>
            <w:vAlign w:val="center"/>
          </w:tcPr>
          <w:p w14:paraId="669467F0">
            <w:pPr>
              <w:spacing w:line="360" w:lineRule="auto"/>
              <w:jc w:val="center"/>
              <w:rPr>
                <w:szCs w:val="21"/>
              </w:rPr>
            </w:pPr>
            <w:r>
              <w:rPr>
                <w:szCs w:val="21"/>
              </w:rPr>
              <w:t>最大值</w:t>
            </w:r>
          </w:p>
        </w:tc>
        <w:tc>
          <w:tcPr>
            <w:tcW w:w="589" w:type="dxa"/>
            <w:vAlign w:val="center"/>
          </w:tcPr>
          <w:p w14:paraId="038799D6">
            <w:pPr>
              <w:spacing w:line="360" w:lineRule="auto"/>
              <w:jc w:val="center"/>
              <w:rPr>
                <w:sz w:val="24"/>
              </w:rPr>
            </w:pPr>
            <w:r>
              <w:rPr>
                <w:sz w:val="24"/>
              </w:rPr>
              <w:t>800</w:t>
            </w:r>
          </w:p>
        </w:tc>
        <w:tc>
          <w:tcPr>
            <w:tcW w:w="590" w:type="dxa"/>
            <w:vAlign w:val="center"/>
          </w:tcPr>
          <w:p w14:paraId="40A5EBC8">
            <w:pPr>
              <w:spacing w:line="360" w:lineRule="auto"/>
              <w:jc w:val="center"/>
              <w:rPr>
                <w:sz w:val="24"/>
              </w:rPr>
            </w:pPr>
            <w:r>
              <w:rPr>
                <w:sz w:val="24"/>
              </w:rPr>
              <w:t>600</w:t>
            </w:r>
          </w:p>
        </w:tc>
        <w:tc>
          <w:tcPr>
            <w:tcW w:w="841" w:type="dxa"/>
            <w:vAlign w:val="center"/>
          </w:tcPr>
          <w:p w14:paraId="00524EB8">
            <w:pPr>
              <w:spacing w:line="360" w:lineRule="auto"/>
              <w:jc w:val="center"/>
              <w:rPr>
                <w:sz w:val="24"/>
              </w:rPr>
            </w:pPr>
            <w:r>
              <w:rPr>
                <w:sz w:val="24"/>
              </w:rPr>
              <w:t>760</w:t>
            </w:r>
          </w:p>
        </w:tc>
        <w:tc>
          <w:tcPr>
            <w:tcW w:w="843" w:type="dxa"/>
            <w:vAlign w:val="center"/>
          </w:tcPr>
          <w:p w14:paraId="5396FB21">
            <w:pPr>
              <w:spacing w:line="360" w:lineRule="auto"/>
              <w:jc w:val="center"/>
              <w:rPr>
                <w:sz w:val="24"/>
              </w:rPr>
            </w:pPr>
            <w:r>
              <w:rPr>
                <w:sz w:val="24"/>
              </w:rPr>
              <w:t>575</w:t>
            </w:r>
          </w:p>
        </w:tc>
        <w:tc>
          <w:tcPr>
            <w:tcW w:w="841" w:type="dxa"/>
            <w:vAlign w:val="center"/>
          </w:tcPr>
          <w:p w14:paraId="37FDF2C7">
            <w:pPr>
              <w:spacing w:line="360" w:lineRule="auto"/>
              <w:jc w:val="center"/>
              <w:rPr>
                <w:sz w:val="24"/>
              </w:rPr>
            </w:pPr>
            <w:r>
              <w:rPr>
                <w:sz w:val="24"/>
              </w:rPr>
              <w:t>740</w:t>
            </w:r>
          </w:p>
        </w:tc>
        <w:tc>
          <w:tcPr>
            <w:tcW w:w="843" w:type="dxa"/>
            <w:vAlign w:val="center"/>
          </w:tcPr>
          <w:p w14:paraId="458F4FB0">
            <w:pPr>
              <w:spacing w:line="360" w:lineRule="auto"/>
              <w:jc w:val="center"/>
              <w:rPr>
                <w:sz w:val="24"/>
              </w:rPr>
            </w:pPr>
            <w:r>
              <w:rPr>
                <w:sz w:val="24"/>
              </w:rPr>
              <w:t>550</w:t>
            </w:r>
          </w:p>
        </w:tc>
        <w:tc>
          <w:tcPr>
            <w:tcW w:w="811" w:type="dxa"/>
          </w:tcPr>
          <w:p w14:paraId="4C550A91">
            <w:pPr>
              <w:spacing w:line="360" w:lineRule="auto"/>
              <w:jc w:val="center"/>
              <w:rPr>
                <w:sz w:val="24"/>
              </w:rPr>
            </w:pPr>
            <w:r>
              <w:rPr>
                <w:sz w:val="24"/>
              </w:rPr>
              <w:t>767</w:t>
            </w:r>
          </w:p>
        </w:tc>
        <w:tc>
          <w:tcPr>
            <w:tcW w:w="811" w:type="dxa"/>
          </w:tcPr>
          <w:p w14:paraId="3CDDDD73">
            <w:pPr>
              <w:spacing w:line="360" w:lineRule="auto"/>
              <w:jc w:val="center"/>
              <w:rPr>
                <w:sz w:val="24"/>
              </w:rPr>
            </w:pPr>
            <w:r>
              <w:rPr>
                <w:sz w:val="24"/>
              </w:rPr>
              <w:t>575</w:t>
            </w:r>
          </w:p>
        </w:tc>
      </w:tr>
      <w:tr w14:paraId="02D3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13" w:type="dxa"/>
            <w:vMerge w:val="continue"/>
            <w:vAlign w:val="center"/>
          </w:tcPr>
          <w:p w14:paraId="0160E063">
            <w:pPr>
              <w:spacing w:line="360" w:lineRule="auto"/>
              <w:jc w:val="center"/>
              <w:rPr>
                <w:szCs w:val="21"/>
              </w:rPr>
            </w:pPr>
          </w:p>
        </w:tc>
        <w:tc>
          <w:tcPr>
            <w:tcW w:w="902" w:type="dxa"/>
            <w:vAlign w:val="center"/>
          </w:tcPr>
          <w:p w14:paraId="2DD854B5">
            <w:pPr>
              <w:spacing w:line="360" w:lineRule="auto"/>
              <w:jc w:val="center"/>
              <w:rPr>
                <w:szCs w:val="21"/>
              </w:rPr>
            </w:pPr>
            <w:r>
              <w:rPr>
                <w:szCs w:val="21"/>
              </w:rPr>
              <w:t>最小值</w:t>
            </w:r>
          </w:p>
        </w:tc>
        <w:tc>
          <w:tcPr>
            <w:tcW w:w="589" w:type="dxa"/>
            <w:vAlign w:val="center"/>
          </w:tcPr>
          <w:p w14:paraId="2C96FC16">
            <w:pPr>
              <w:spacing w:line="360" w:lineRule="auto"/>
              <w:jc w:val="center"/>
              <w:rPr>
                <w:sz w:val="24"/>
              </w:rPr>
            </w:pPr>
            <w:r>
              <w:rPr>
                <w:sz w:val="24"/>
              </w:rPr>
              <w:t>450</w:t>
            </w:r>
          </w:p>
        </w:tc>
        <w:tc>
          <w:tcPr>
            <w:tcW w:w="590" w:type="dxa"/>
            <w:vAlign w:val="center"/>
          </w:tcPr>
          <w:p w14:paraId="66157594">
            <w:pPr>
              <w:spacing w:line="360" w:lineRule="auto"/>
              <w:jc w:val="center"/>
              <w:rPr>
                <w:sz w:val="24"/>
              </w:rPr>
            </w:pPr>
            <w:r>
              <w:rPr>
                <w:sz w:val="24"/>
              </w:rPr>
              <w:t>300</w:t>
            </w:r>
          </w:p>
        </w:tc>
        <w:tc>
          <w:tcPr>
            <w:tcW w:w="841" w:type="dxa"/>
            <w:vAlign w:val="center"/>
          </w:tcPr>
          <w:p w14:paraId="525C1BC7">
            <w:pPr>
              <w:spacing w:line="360" w:lineRule="auto"/>
              <w:jc w:val="center"/>
              <w:rPr>
                <w:sz w:val="24"/>
              </w:rPr>
            </w:pPr>
            <w:r>
              <w:rPr>
                <w:sz w:val="24"/>
              </w:rPr>
              <w:t>445</w:t>
            </w:r>
          </w:p>
        </w:tc>
        <w:tc>
          <w:tcPr>
            <w:tcW w:w="843" w:type="dxa"/>
            <w:vAlign w:val="center"/>
          </w:tcPr>
          <w:p w14:paraId="54C3F695">
            <w:pPr>
              <w:spacing w:line="360" w:lineRule="auto"/>
              <w:jc w:val="center"/>
              <w:rPr>
                <w:sz w:val="24"/>
              </w:rPr>
            </w:pPr>
            <w:r>
              <w:rPr>
                <w:sz w:val="24"/>
              </w:rPr>
              <w:t>270</w:t>
            </w:r>
          </w:p>
        </w:tc>
        <w:tc>
          <w:tcPr>
            <w:tcW w:w="841" w:type="dxa"/>
            <w:vAlign w:val="center"/>
          </w:tcPr>
          <w:p w14:paraId="770CDED5">
            <w:pPr>
              <w:spacing w:line="360" w:lineRule="auto"/>
              <w:jc w:val="center"/>
              <w:rPr>
                <w:sz w:val="24"/>
              </w:rPr>
            </w:pPr>
            <w:r>
              <w:rPr>
                <w:sz w:val="24"/>
              </w:rPr>
              <w:t>415</w:t>
            </w:r>
          </w:p>
        </w:tc>
        <w:tc>
          <w:tcPr>
            <w:tcW w:w="843" w:type="dxa"/>
            <w:vAlign w:val="center"/>
          </w:tcPr>
          <w:p w14:paraId="2BCE64BD">
            <w:pPr>
              <w:spacing w:line="360" w:lineRule="auto"/>
              <w:jc w:val="center"/>
              <w:rPr>
                <w:sz w:val="24"/>
              </w:rPr>
            </w:pPr>
            <w:r>
              <w:rPr>
                <w:sz w:val="24"/>
              </w:rPr>
              <w:t>280</w:t>
            </w:r>
          </w:p>
        </w:tc>
        <w:tc>
          <w:tcPr>
            <w:tcW w:w="811" w:type="dxa"/>
          </w:tcPr>
          <w:p w14:paraId="5A55DE7E">
            <w:pPr>
              <w:spacing w:line="360" w:lineRule="auto"/>
              <w:jc w:val="center"/>
              <w:rPr>
                <w:sz w:val="24"/>
              </w:rPr>
            </w:pPr>
            <w:r>
              <w:rPr>
                <w:sz w:val="24"/>
              </w:rPr>
              <w:t>437</w:t>
            </w:r>
          </w:p>
        </w:tc>
        <w:tc>
          <w:tcPr>
            <w:tcW w:w="811" w:type="dxa"/>
          </w:tcPr>
          <w:p w14:paraId="48DF55F9">
            <w:pPr>
              <w:spacing w:line="360" w:lineRule="auto"/>
              <w:jc w:val="center"/>
              <w:rPr>
                <w:sz w:val="24"/>
              </w:rPr>
            </w:pPr>
            <w:r>
              <w:rPr>
                <w:sz w:val="24"/>
              </w:rPr>
              <w:t>283</w:t>
            </w:r>
          </w:p>
        </w:tc>
      </w:tr>
      <w:tr w14:paraId="4025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413" w:type="dxa"/>
            <w:vMerge w:val="continue"/>
            <w:vAlign w:val="center"/>
          </w:tcPr>
          <w:p w14:paraId="5192811F">
            <w:pPr>
              <w:spacing w:line="360" w:lineRule="auto"/>
              <w:jc w:val="center"/>
              <w:rPr>
                <w:szCs w:val="21"/>
              </w:rPr>
            </w:pPr>
          </w:p>
        </w:tc>
        <w:tc>
          <w:tcPr>
            <w:tcW w:w="902" w:type="dxa"/>
            <w:vAlign w:val="center"/>
          </w:tcPr>
          <w:p w14:paraId="6413C09D">
            <w:pPr>
              <w:spacing w:line="360" w:lineRule="auto"/>
              <w:jc w:val="center"/>
              <w:rPr>
                <w:szCs w:val="21"/>
              </w:rPr>
            </w:pPr>
            <w:r>
              <w:rPr>
                <w:szCs w:val="21"/>
              </w:rPr>
              <w:t>均值</w:t>
            </w:r>
          </w:p>
        </w:tc>
        <w:tc>
          <w:tcPr>
            <w:tcW w:w="589" w:type="dxa"/>
            <w:vAlign w:val="center"/>
          </w:tcPr>
          <w:p w14:paraId="015D79CC">
            <w:pPr>
              <w:spacing w:line="360" w:lineRule="auto"/>
              <w:jc w:val="center"/>
              <w:rPr>
                <w:sz w:val="24"/>
              </w:rPr>
            </w:pPr>
            <w:r>
              <w:rPr>
                <w:sz w:val="24"/>
              </w:rPr>
              <w:t>640</w:t>
            </w:r>
          </w:p>
        </w:tc>
        <w:tc>
          <w:tcPr>
            <w:tcW w:w="590" w:type="dxa"/>
            <w:vAlign w:val="center"/>
          </w:tcPr>
          <w:p w14:paraId="1563543E">
            <w:pPr>
              <w:spacing w:line="360" w:lineRule="auto"/>
              <w:jc w:val="center"/>
              <w:rPr>
                <w:sz w:val="24"/>
              </w:rPr>
            </w:pPr>
            <w:r>
              <w:rPr>
                <w:sz w:val="24"/>
              </w:rPr>
              <w:t>480</w:t>
            </w:r>
          </w:p>
        </w:tc>
        <w:tc>
          <w:tcPr>
            <w:tcW w:w="841" w:type="dxa"/>
            <w:vAlign w:val="center"/>
          </w:tcPr>
          <w:p w14:paraId="79D9AAEE">
            <w:pPr>
              <w:spacing w:line="360" w:lineRule="auto"/>
              <w:jc w:val="center"/>
              <w:rPr>
                <w:sz w:val="24"/>
              </w:rPr>
            </w:pPr>
            <w:r>
              <w:rPr>
                <w:sz w:val="24"/>
              </w:rPr>
              <w:t>610</w:t>
            </w:r>
          </w:p>
        </w:tc>
        <w:tc>
          <w:tcPr>
            <w:tcW w:w="843" w:type="dxa"/>
            <w:vAlign w:val="center"/>
          </w:tcPr>
          <w:p w14:paraId="3D66A03C">
            <w:pPr>
              <w:spacing w:line="360" w:lineRule="auto"/>
              <w:jc w:val="center"/>
              <w:rPr>
                <w:sz w:val="24"/>
              </w:rPr>
            </w:pPr>
            <w:r>
              <w:rPr>
                <w:sz w:val="24"/>
              </w:rPr>
              <w:t>445</w:t>
            </w:r>
          </w:p>
        </w:tc>
        <w:tc>
          <w:tcPr>
            <w:tcW w:w="841" w:type="dxa"/>
            <w:vAlign w:val="center"/>
          </w:tcPr>
          <w:p w14:paraId="37D219F9">
            <w:pPr>
              <w:spacing w:line="360" w:lineRule="auto"/>
              <w:jc w:val="center"/>
              <w:rPr>
                <w:sz w:val="24"/>
              </w:rPr>
            </w:pPr>
            <w:r>
              <w:rPr>
                <w:sz w:val="24"/>
              </w:rPr>
              <w:t>580</w:t>
            </w:r>
          </w:p>
        </w:tc>
        <w:tc>
          <w:tcPr>
            <w:tcW w:w="843" w:type="dxa"/>
            <w:vAlign w:val="center"/>
          </w:tcPr>
          <w:p w14:paraId="05AC348C">
            <w:pPr>
              <w:spacing w:line="360" w:lineRule="auto"/>
              <w:jc w:val="center"/>
              <w:rPr>
                <w:sz w:val="24"/>
              </w:rPr>
            </w:pPr>
            <w:r>
              <w:rPr>
                <w:sz w:val="24"/>
              </w:rPr>
              <w:t>425</w:t>
            </w:r>
          </w:p>
        </w:tc>
        <w:tc>
          <w:tcPr>
            <w:tcW w:w="811" w:type="dxa"/>
          </w:tcPr>
          <w:p w14:paraId="3EA377BC">
            <w:pPr>
              <w:spacing w:line="360" w:lineRule="auto"/>
              <w:jc w:val="center"/>
              <w:rPr>
                <w:sz w:val="24"/>
              </w:rPr>
            </w:pPr>
            <w:r>
              <w:rPr>
                <w:sz w:val="24"/>
              </w:rPr>
              <w:t>610</w:t>
            </w:r>
          </w:p>
        </w:tc>
        <w:tc>
          <w:tcPr>
            <w:tcW w:w="811" w:type="dxa"/>
          </w:tcPr>
          <w:p w14:paraId="565C1D35">
            <w:pPr>
              <w:spacing w:line="360" w:lineRule="auto"/>
              <w:jc w:val="center"/>
              <w:rPr>
                <w:sz w:val="24"/>
              </w:rPr>
            </w:pPr>
            <w:r>
              <w:rPr>
                <w:sz w:val="24"/>
              </w:rPr>
              <w:t>450</w:t>
            </w:r>
          </w:p>
        </w:tc>
      </w:tr>
    </w:tbl>
    <w:p w14:paraId="5C7C0664">
      <w:pPr>
        <w:pStyle w:val="180"/>
        <w:ind w:firstLine="480"/>
      </w:pPr>
      <w:r>
        <w:rPr>
          <w:rFonts w:hint="eastAsia"/>
        </w:rPr>
        <w:t>（2）</w:t>
      </w:r>
      <w:r>
        <w:t>交易样点价格修正</w:t>
      </w:r>
    </w:p>
    <w:p w14:paraId="46F1B3B3">
      <w:pPr>
        <w:spacing w:line="360" w:lineRule="auto"/>
        <w:ind w:firstLine="480"/>
        <w:rPr>
          <w:sz w:val="24"/>
        </w:rPr>
      </w:pPr>
      <w:r>
        <w:rPr>
          <w:rFonts w:hint="eastAsia" w:ascii="宋体" w:hAnsi="宋体" w:cs="宋体"/>
          <w:sz w:val="24"/>
        </w:rPr>
        <w:t>①</w:t>
      </w:r>
      <w:r>
        <w:rPr>
          <w:sz w:val="24"/>
        </w:rPr>
        <w:t>交易情况修正</w:t>
      </w:r>
    </w:p>
    <w:p w14:paraId="66C5D38C">
      <w:pPr>
        <w:spacing w:line="500" w:lineRule="exact"/>
        <w:ind w:firstLine="482"/>
        <w:rPr>
          <w:sz w:val="24"/>
        </w:rPr>
      </w:pPr>
      <w:r>
        <w:rPr>
          <w:sz w:val="24"/>
        </w:rPr>
        <w:t>本次国有农用地基准地价评估所收集到的交易样点多为土地流转样点，但所收集到的土地流转价格远远低于土地交易市场价格。这一方面是由于土地流转价格仅仅只考虑到了国有农用地的经济生产功能，而忽略了其社会保障与生态功能。另一方面是由于农民议价能力不高，农民权益未充分体现。将土地流转价格与土地实际价格进行对比，发现土地流转价格仅为实际土地价格的50%-70%。故在使用土地流转价格进行市场比较法进行基准地价计算时，需首先进行交易情况修正。</w:t>
      </w:r>
    </w:p>
    <w:p w14:paraId="2C6F8AE8">
      <w:pPr>
        <w:spacing w:line="500" w:lineRule="exact"/>
        <w:ind w:firstLine="482"/>
        <w:rPr>
          <w:sz w:val="24"/>
        </w:rPr>
      </w:pPr>
      <w:r>
        <w:rPr>
          <w:rFonts w:hint="eastAsia" w:ascii="宋体" w:hAnsi="宋体" w:cs="宋体"/>
          <w:sz w:val="24"/>
        </w:rPr>
        <w:t>②</w:t>
      </w:r>
      <w:r>
        <w:rPr>
          <w:sz w:val="24"/>
        </w:rPr>
        <w:t>交易期日修正</w:t>
      </w:r>
    </w:p>
    <w:p w14:paraId="16B64A39">
      <w:pPr>
        <w:spacing w:line="500" w:lineRule="exact"/>
        <w:ind w:firstLine="482"/>
        <w:rPr>
          <w:sz w:val="24"/>
        </w:rPr>
      </w:pPr>
      <w:r>
        <w:rPr>
          <w:sz w:val="24"/>
        </w:rPr>
        <w:t>由于所收集的样点地价为不同交易时间的样点地价，只有修正到基准地价期日的地价，才能用于基准地价评估。故应进行国有农用地交易期日修正，计算公式如下：</w:t>
      </w:r>
    </w:p>
    <w:p w14:paraId="4FBE0B7A">
      <w:pPr>
        <w:spacing w:line="360" w:lineRule="auto"/>
        <w:jc w:val="center"/>
        <w:rPr>
          <w:color w:val="333333"/>
          <w:kern w:val="0"/>
          <w:sz w:val="22"/>
          <w:szCs w:val="21"/>
        </w:rPr>
      </w:pPr>
      <w:r>
        <w:rPr>
          <w:color w:val="333333"/>
          <w:kern w:val="0"/>
          <w:sz w:val="24"/>
          <w:szCs w:val="22"/>
        </w:rPr>
        <w:t>K</w:t>
      </w:r>
      <w:r>
        <w:rPr>
          <w:color w:val="333333"/>
          <w:kern w:val="0"/>
          <w:sz w:val="24"/>
          <w:szCs w:val="22"/>
          <w:vertAlign w:val="subscript"/>
        </w:rPr>
        <w:t>ij</w:t>
      </w:r>
      <w:r>
        <w:rPr>
          <w:color w:val="333333"/>
          <w:kern w:val="0"/>
          <w:sz w:val="24"/>
          <w:szCs w:val="22"/>
        </w:rPr>
        <w:t>=P</w:t>
      </w:r>
      <w:r>
        <w:rPr>
          <w:color w:val="333333"/>
          <w:kern w:val="0"/>
          <w:sz w:val="24"/>
          <w:szCs w:val="22"/>
          <w:vertAlign w:val="subscript"/>
        </w:rPr>
        <w:t>is</w:t>
      </w:r>
      <w:r>
        <w:rPr>
          <w:color w:val="333333"/>
          <w:kern w:val="0"/>
          <w:sz w:val="24"/>
          <w:szCs w:val="22"/>
        </w:rPr>
        <w:t>/P</w:t>
      </w:r>
      <w:r>
        <w:rPr>
          <w:color w:val="333333"/>
          <w:kern w:val="0"/>
          <w:sz w:val="24"/>
          <w:szCs w:val="22"/>
          <w:vertAlign w:val="subscript"/>
        </w:rPr>
        <w:t>ij</w:t>
      </w:r>
    </w:p>
    <w:p w14:paraId="4F17A5C6">
      <w:pPr>
        <w:spacing w:line="500" w:lineRule="exact"/>
        <w:ind w:firstLine="482"/>
        <w:rPr>
          <w:color w:val="333333"/>
          <w:kern w:val="0"/>
          <w:sz w:val="22"/>
          <w:szCs w:val="21"/>
        </w:rPr>
      </w:pPr>
      <w:r>
        <w:rPr>
          <w:color w:val="333333"/>
          <w:kern w:val="0"/>
          <w:sz w:val="24"/>
          <w:szCs w:val="22"/>
        </w:rPr>
        <w:t>式中：K</w:t>
      </w:r>
      <w:r>
        <w:rPr>
          <w:color w:val="333333"/>
          <w:kern w:val="0"/>
          <w:sz w:val="24"/>
          <w:szCs w:val="22"/>
          <w:vertAlign w:val="subscript"/>
        </w:rPr>
        <w:t>ij</w:t>
      </w:r>
      <w:r>
        <w:rPr>
          <w:color w:val="333333"/>
          <w:kern w:val="0"/>
          <w:sz w:val="24"/>
          <w:szCs w:val="22"/>
        </w:rPr>
        <w:t>——第i类用地第j期地价修正到基准地价估价期日的系数；</w:t>
      </w:r>
    </w:p>
    <w:p w14:paraId="4E3FE613">
      <w:pPr>
        <w:spacing w:line="500" w:lineRule="exact"/>
        <w:ind w:firstLine="1200" w:firstLineChars="500"/>
        <w:rPr>
          <w:color w:val="333333"/>
          <w:kern w:val="0"/>
          <w:sz w:val="22"/>
          <w:szCs w:val="21"/>
        </w:rPr>
      </w:pPr>
      <w:r>
        <w:rPr>
          <w:color w:val="333333"/>
          <w:kern w:val="0"/>
          <w:sz w:val="24"/>
          <w:szCs w:val="22"/>
        </w:rPr>
        <w:t>P</w:t>
      </w:r>
      <w:r>
        <w:rPr>
          <w:color w:val="333333"/>
          <w:kern w:val="0"/>
          <w:sz w:val="24"/>
          <w:szCs w:val="22"/>
          <w:vertAlign w:val="subscript"/>
        </w:rPr>
        <w:t>is</w:t>
      </w:r>
      <w:r>
        <w:rPr>
          <w:color w:val="333333"/>
          <w:kern w:val="0"/>
          <w:sz w:val="24"/>
          <w:szCs w:val="22"/>
        </w:rPr>
        <w:t>——第i类用地基准地价估价期日土地交易平均价(或地价指数)；</w:t>
      </w:r>
    </w:p>
    <w:p w14:paraId="57162E67">
      <w:pPr>
        <w:spacing w:line="500" w:lineRule="exact"/>
        <w:ind w:firstLine="1200" w:firstLineChars="500"/>
        <w:rPr>
          <w:color w:val="333333"/>
          <w:kern w:val="0"/>
          <w:sz w:val="22"/>
          <w:szCs w:val="21"/>
        </w:rPr>
      </w:pPr>
      <w:r>
        <w:rPr>
          <w:color w:val="333333"/>
          <w:kern w:val="0"/>
          <w:sz w:val="24"/>
          <w:szCs w:val="22"/>
        </w:rPr>
        <w:t>P</w:t>
      </w:r>
      <w:r>
        <w:rPr>
          <w:color w:val="333333"/>
          <w:kern w:val="0"/>
          <w:sz w:val="24"/>
          <w:szCs w:val="22"/>
          <w:vertAlign w:val="subscript"/>
        </w:rPr>
        <w:t>ij</w:t>
      </w:r>
      <w:r>
        <w:rPr>
          <w:color w:val="333333"/>
          <w:kern w:val="0"/>
          <w:sz w:val="24"/>
          <w:szCs w:val="22"/>
        </w:rPr>
        <w:t>——第i类用地第j期土地交易平均价(或地价指数)。</w:t>
      </w:r>
    </w:p>
    <w:p w14:paraId="285DFF0D">
      <w:pPr>
        <w:spacing w:line="500" w:lineRule="exact"/>
        <w:ind w:firstLine="482"/>
        <w:rPr>
          <w:sz w:val="24"/>
        </w:rPr>
      </w:pPr>
      <w:r>
        <w:rPr>
          <w:sz w:val="24"/>
        </w:rPr>
        <w:t>具体修正系数见表4-9</w:t>
      </w:r>
      <w:r>
        <w:rPr>
          <w:rFonts w:hint="eastAsia"/>
          <w:sz w:val="24"/>
        </w:rPr>
        <w:t>。</w:t>
      </w:r>
    </w:p>
    <w:p w14:paraId="605F940E">
      <w:pPr>
        <w:ind w:firstLine="422"/>
        <w:jc w:val="center"/>
        <w:rPr>
          <w:b/>
          <w:szCs w:val="21"/>
        </w:rPr>
      </w:pPr>
      <w:r>
        <w:rPr>
          <w:b/>
          <w:szCs w:val="21"/>
        </w:rPr>
        <w:t xml:space="preserve">表4-9 </w:t>
      </w:r>
      <w:r>
        <w:rPr>
          <w:rFonts w:hint="eastAsia"/>
          <w:b/>
          <w:szCs w:val="21"/>
        </w:rPr>
        <w:t>鄂州市</w:t>
      </w:r>
      <w:r>
        <w:rPr>
          <w:b/>
          <w:szCs w:val="21"/>
        </w:rPr>
        <w:t>国有农用地</w:t>
      </w:r>
      <w:r>
        <w:rPr>
          <w:rFonts w:hint="eastAsia"/>
          <w:b/>
          <w:szCs w:val="21"/>
        </w:rPr>
        <w:t>交易期日修正</w:t>
      </w:r>
      <w:r>
        <w:rPr>
          <w:b/>
          <w:szCs w:val="21"/>
        </w:rPr>
        <w:t>表</w:t>
      </w:r>
    </w:p>
    <w:tbl>
      <w:tblPr>
        <w:tblStyle w:val="3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736"/>
        <w:gridCol w:w="666"/>
        <w:gridCol w:w="666"/>
        <w:gridCol w:w="666"/>
        <w:gridCol w:w="666"/>
        <w:gridCol w:w="666"/>
        <w:gridCol w:w="666"/>
        <w:gridCol w:w="666"/>
        <w:gridCol w:w="666"/>
        <w:gridCol w:w="666"/>
        <w:gridCol w:w="666"/>
      </w:tblGrid>
      <w:tr w14:paraId="20D0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0" w:type="dxa"/>
            <w:vMerge w:val="restart"/>
            <w:vAlign w:val="center"/>
          </w:tcPr>
          <w:p w14:paraId="5E9151A8">
            <w:pPr>
              <w:jc w:val="center"/>
              <w:rPr>
                <w:b/>
                <w:kern w:val="0"/>
              </w:rPr>
            </w:pPr>
            <w:r>
              <w:rPr>
                <w:b/>
                <w:kern w:val="0"/>
              </w:rPr>
              <w:t>交易</w:t>
            </w:r>
          </w:p>
          <w:p w14:paraId="5C9CBFC7">
            <w:pPr>
              <w:jc w:val="center"/>
              <w:rPr>
                <w:rFonts w:eastAsia="Times New Roman"/>
                <w:b/>
                <w:kern w:val="0"/>
              </w:rPr>
            </w:pPr>
            <w:r>
              <w:rPr>
                <w:b/>
                <w:kern w:val="0"/>
              </w:rPr>
              <w:t>时间</w:t>
            </w:r>
          </w:p>
        </w:tc>
        <w:tc>
          <w:tcPr>
            <w:tcW w:w="736" w:type="dxa"/>
            <w:vAlign w:val="center"/>
          </w:tcPr>
          <w:p w14:paraId="3DDE9485">
            <w:pPr>
              <w:jc w:val="center"/>
              <w:rPr>
                <w:b/>
                <w:kern w:val="0"/>
              </w:rPr>
            </w:pPr>
            <w:r>
              <w:rPr>
                <w:b/>
                <w:kern w:val="0"/>
              </w:rPr>
              <w:t>2013年</w:t>
            </w:r>
          </w:p>
        </w:tc>
        <w:tc>
          <w:tcPr>
            <w:tcW w:w="1332" w:type="dxa"/>
            <w:gridSpan w:val="2"/>
            <w:vAlign w:val="center"/>
          </w:tcPr>
          <w:p w14:paraId="51733582">
            <w:pPr>
              <w:jc w:val="center"/>
              <w:rPr>
                <w:b/>
                <w:kern w:val="0"/>
              </w:rPr>
            </w:pPr>
            <w:r>
              <w:rPr>
                <w:b/>
                <w:kern w:val="0"/>
              </w:rPr>
              <w:t>2014年</w:t>
            </w:r>
          </w:p>
        </w:tc>
        <w:tc>
          <w:tcPr>
            <w:tcW w:w="1332" w:type="dxa"/>
            <w:gridSpan w:val="2"/>
            <w:vAlign w:val="center"/>
          </w:tcPr>
          <w:p w14:paraId="2A99866F">
            <w:pPr>
              <w:jc w:val="center"/>
              <w:rPr>
                <w:b/>
                <w:kern w:val="0"/>
              </w:rPr>
            </w:pPr>
            <w:r>
              <w:rPr>
                <w:b/>
                <w:kern w:val="0"/>
              </w:rPr>
              <w:t>2015年</w:t>
            </w:r>
          </w:p>
        </w:tc>
        <w:tc>
          <w:tcPr>
            <w:tcW w:w="1332" w:type="dxa"/>
            <w:gridSpan w:val="2"/>
            <w:vAlign w:val="center"/>
          </w:tcPr>
          <w:p w14:paraId="71ECF9AF">
            <w:pPr>
              <w:jc w:val="center"/>
              <w:rPr>
                <w:b/>
                <w:kern w:val="0"/>
              </w:rPr>
            </w:pPr>
            <w:r>
              <w:rPr>
                <w:b/>
                <w:kern w:val="0"/>
              </w:rPr>
              <w:t>2016年</w:t>
            </w:r>
          </w:p>
        </w:tc>
        <w:tc>
          <w:tcPr>
            <w:tcW w:w="1332" w:type="dxa"/>
            <w:gridSpan w:val="2"/>
            <w:vAlign w:val="center"/>
          </w:tcPr>
          <w:p w14:paraId="6222DCF3">
            <w:pPr>
              <w:jc w:val="center"/>
              <w:rPr>
                <w:b/>
                <w:kern w:val="0"/>
              </w:rPr>
            </w:pPr>
            <w:r>
              <w:rPr>
                <w:b/>
                <w:kern w:val="0"/>
              </w:rPr>
              <w:t>2017年</w:t>
            </w:r>
          </w:p>
        </w:tc>
        <w:tc>
          <w:tcPr>
            <w:tcW w:w="1332" w:type="dxa"/>
            <w:gridSpan w:val="2"/>
            <w:vAlign w:val="center"/>
          </w:tcPr>
          <w:p w14:paraId="25BE70E3">
            <w:pPr>
              <w:jc w:val="center"/>
              <w:rPr>
                <w:b/>
                <w:kern w:val="0"/>
              </w:rPr>
            </w:pPr>
            <w:r>
              <w:rPr>
                <w:b/>
                <w:kern w:val="0"/>
              </w:rPr>
              <w:t>2018年</w:t>
            </w:r>
          </w:p>
        </w:tc>
      </w:tr>
      <w:tr w14:paraId="4E4E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0" w:type="dxa"/>
            <w:vMerge w:val="continue"/>
            <w:vAlign w:val="center"/>
          </w:tcPr>
          <w:p w14:paraId="4F7F040D">
            <w:pPr>
              <w:jc w:val="center"/>
              <w:rPr>
                <w:rFonts w:eastAsia="Times New Roman"/>
                <w:b/>
                <w:kern w:val="0"/>
              </w:rPr>
            </w:pPr>
          </w:p>
        </w:tc>
        <w:tc>
          <w:tcPr>
            <w:tcW w:w="736" w:type="dxa"/>
            <w:vAlign w:val="center"/>
          </w:tcPr>
          <w:p w14:paraId="62AF1A3D">
            <w:pPr>
              <w:jc w:val="center"/>
              <w:rPr>
                <w:rFonts w:eastAsia="Times New Roman"/>
                <w:b/>
                <w:kern w:val="0"/>
                <w:sz w:val="18"/>
              </w:rPr>
            </w:pPr>
            <w:r>
              <w:rPr>
                <w:b/>
                <w:kern w:val="0"/>
                <w:sz w:val="18"/>
              </w:rPr>
              <w:t>6月</w:t>
            </w:r>
          </w:p>
        </w:tc>
        <w:tc>
          <w:tcPr>
            <w:tcW w:w="666" w:type="dxa"/>
            <w:vAlign w:val="center"/>
          </w:tcPr>
          <w:p w14:paraId="2DF01896">
            <w:pPr>
              <w:jc w:val="center"/>
              <w:rPr>
                <w:rFonts w:eastAsia="Times New Roman"/>
                <w:b/>
                <w:kern w:val="0"/>
                <w:sz w:val="18"/>
              </w:rPr>
            </w:pPr>
            <w:r>
              <w:rPr>
                <w:b/>
                <w:kern w:val="0"/>
                <w:sz w:val="18"/>
              </w:rPr>
              <w:t>1月</w:t>
            </w:r>
          </w:p>
        </w:tc>
        <w:tc>
          <w:tcPr>
            <w:tcW w:w="666" w:type="dxa"/>
            <w:vAlign w:val="center"/>
          </w:tcPr>
          <w:p w14:paraId="3F034481">
            <w:pPr>
              <w:jc w:val="center"/>
              <w:rPr>
                <w:rFonts w:eastAsia="Times New Roman"/>
                <w:b/>
                <w:kern w:val="0"/>
                <w:sz w:val="18"/>
              </w:rPr>
            </w:pPr>
            <w:r>
              <w:rPr>
                <w:b/>
                <w:kern w:val="0"/>
                <w:sz w:val="18"/>
              </w:rPr>
              <w:t>6月</w:t>
            </w:r>
          </w:p>
        </w:tc>
        <w:tc>
          <w:tcPr>
            <w:tcW w:w="666" w:type="dxa"/>
            <w:vAlign w:val="center"/>
          </w:tcPr>
          <w:p w14:paraId="37D28E60">
            <w:pPr>
              <w:jc w:val="center"/>
              <w:rPr>
                <w:rFonts w:eastAsia="Times New Roman"/>
                <w:b/>
                <w:kern w:val="0"/>
                <w:sz w:val="18"/>
              </w:rPr>
            </w:pPr>
            <w:r>
              <w:rPr>
                <w:b/>
                <w:kern w:val="0"/>
                <w:sz w:val="18"/>
              </w:rPr>
              <w:t>1月</w:t>
            </w:r>
          </w:p>
        </w:tc>
        <w:tc>
          <w:tcPr>
            <w:tcW w:w="666" w:type="dxa"/>
            <w:vAlign w:val="center"/>
          </w:tcPr>
          <w:p w14:paraId="43A55C89">
            <w:pPr>
              <w:jc w:val="center"/>
              <w:rPr>
                <w:rFonts w:eastAsia="Times New Roman"/>
                <w:b/>
                <w:kern w:val="0"/>
                <w:sz w:val="18"/>
              </w:rPr>
            </w:pPr>
            <w:r>
              <w:rPr>
                <w:b/>
                <w:kern w:val="0"/>
                <w:sz w:val="18"/>
              </w:rPr>
              <w:t>6月</w:t>
            </w:r>
          </w:p>
        </w:tc>
        <w:tc>
          <w:tcPr>
            <w:tcW w:w="666" w:type="dxa"/>
            <w:vAlign w:val="center"/>
          </w:tcPr>
          <w:p w14:paraId="2D0EFC4F">
            <w:pPr>
              <w:jc w:val="center"/>
              <w:rPr>
                <w:rFonts w:eastAsia="Times New Roman"/>
                <w:b/>
                <w:kern w:val="0"/>
                <w:sz w:val="18"/>
              </w:rPr>
            </w:pPr>
            <w:r>
              <w:rPr>
                <w:b/>
                <w:kern w:val="0"/>
                <w:sz w:val="18"/>
              </w:rPr>
              <w:t>1月</w:t>
            </w:r>
          </w:p>
        </w:tc>
        <w:tc>
          <w:tcPr>
            <w:tcW w:w="666" w:type="dxa"/>
            <w:vAlign w:val="center"/>
          </w:tcPr>
          <w:p w14:paraId="698EBDC9">
            <w:pPr>
              <w:jc w:val="center"/>
              <w:rPr>
                <w:rFonts w:eastAsia="Times New Roman"/>
                <w:b/>
                <w:kern w:val="0"/>
                <w:sz w:val="18"/>
              </w:rPr>
            </w:pPr>
            <w:r>
              <w:rPr>
                <w:b/>
                <w:kern w:val="0"/>
                <w:sz w:val="18"/>
              </w:rPr>
              <w:t>6月</w:t>
            </w:r>
          </w:p>
        </w:tc>
        <w:tc>
          <w:tcPr>
            <w:tcW w:w="666" w:type="dxa"/>
            <w:vAlign w:val="center"/>
          </w:tcPr>
          <w:p w14:paraId="47FBB5B9">
            <w:pPr>
              <w:jc w:val="center"/>
              <w:rPr>
                <w:rFonts w:eastAsia="Times New Roman"/>
                <w:b/>
                <w:kern w:val="0"/>
                <w:sz w:val="18"/>
              </w:rPr>
            </w:pPr>
            <w:r>
              <w:rPr>
                <w:b/>
                <w:kern w:val="0"/>
                <w:sz w:val="18"/>
              </w:rPr>
              <w:t>1月</w:t>
            </w:r>
          </w:p>
        </w:tc>
        <w:tc>
          <w:tcPr>
            <w:tcW w:w="666" w:type="dxa"/>
            <w:vAlign w:val="center"/>
          </w:tcPr>
          <w:p w14:paraId="40E35F99">
            <w:pPr>
              <w:jc w:val="center"/>
              <w:rPr>
                <w:rFonts w:eastAsia="Times New Roman"/>
                <w:b/>
                <w:kern w:val="0"/>
                <w:sz w:val="18"/>
              </w:rPr>
            </w:pPr>
            <w:r>
              <w:rPr>
                <w:b/>
                <w:kern w:val="0"/>
                <w:sz w:val="18"/>
              </w:rPr>
              <w:t>6月</w:t>
            </w:r>
          </w:p>
        </w:tc>
        <w:tc>
          <w:tcPr>
            <w:tcW w:w="666" w:type="dxa"/>
            <w:vAlign w:val="center"/>
          </w:tcPr>
          <w:p w14:paraId="4D926A7B">
            <w:pPr>
              <w:jc w:val="center"/>
              <w:rPr>
                <w:rFonts w:eastAsia="Times New Roman"/>
                <w:b/>
                <w:kern w:val="0"/>
                <w:sz w:val="18"/>
              </w:rPr>
            </w:pPr>
            <w:r>
              <w:rPr>
                <w:b/>
                <w:kern w:val="0"/>
                <w:sz w:val="18"/>
              </w:rPr>
              <w:t>1月</w:t>
            </w:r>
          </w:p>
        </w:tc>
        <w:tc>
          <w:tcPr>
            <w:tcW w:w="666" w:type="dxa"/>
            <w:vAlign w:val="center"/>
          </w:tcPr>
          <w:p w14:paraId="08418183">
            <w:pPr>
              <w:jc w:val="center"/>
              <w:rPr>
                <w:rFonts w:eastAsia="Times New Roman"/>
                <w:b/>
                <w:kern w:val="0"/>
                <w:sz w:val="18"/>
              </w:rPr>
            </w:pPr>
            <w:r>
              <w:rPr>
                <w:b/>
                <w:kern w:val="0"/>
                <w:sz w:val="18"/>
              </w:rPr>
              <w:t>6月</w:t>
            </w:r>
          </w:p>
        </w:tc>
      </w:tr>
      <w:tr w14:paraId="6521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0" w:type="dxa"/>
            <w:vAlign w:val="center"/>
          </w:tcPr>
          <w:p w14:paraId="69085E68">
            <w:pPr>
              <w:jc w:val="center"/>
              <w:rPr>
                <w:kern w:val="0"/>
                <w:sz w:val="20"/>
              </w:rPr>
            </w:pPr>
            <w:r>
              <w:rPr>
                <w:kern w:val="0"/>
                <w:sz w:val="20"/>
              </w:rPr>
              <w:t>农产品生产价格指数</w:t>
            </w:r>
          </w:p>
        </w:tc>
        <w:tc>
          <w:tcPr>
            <w:tcW w:w="736" w:type="dxa"/>
            <w:vAlign w:val="center"/>
          </w:tcPr>
          <w:p w14:paraId="69B5357D">
            <w:pPr>
              <w:jc w:val="center"/>
              <w:rPr>
                <w:rFonts w:eastAsia="等线"/>
                <w:color w:val="000000"/>
                <w:sz w:val="20"/>
                <w:szCs w:val="18"/>
              </w:rPr>
            </w:pPr>
            <w:r>
              <w:rPr>
                <w:rFonts w:eastAsia="等线"/>
                <w:color w:val="000000"/>
                <w:sz w:val="20"/>
                <w:szCs w:val="18"/>
              </w:rPr>
              <w:t>104</w:t>
            </w:r>
          </w:p>
        </w:tc>
        <w:tc>
          <w:tcPr>
            <w:tcW w:w="666" w:type="dxa"/>
            <w:vAlign w:val="center"/>
          </w:tcPr>
          <w:p w14:paraId="11EF3FB3">
            <w:pPr>
              <w:jc w:val="center"/>
              <w:rPr>
                <w:rFonts w:eastAsia="等线"/>
                <w:color w:val="000000"/>
                <w:sz w:val="20"/>
                <w:szCs w:val="18"/>
              </w:rPr>
            </w:pPr>
            <w:r>
              <w:rPr>
                <w:rFonts w:eastAsia="等线"/>
                <w:color w:val="000000"/>
                <w:sz w:val="20"/>
                <w:szCs w:val="18"/>
              </w:rPr>
              <w:t>99</w:t>
            </w:r>
          </w:p>
        </w:tc>
        <w:tc>
          <w:tcPr>
            <w:tcW w:w="666" w:type="dxa"/>
            <w:vAlign w:val="center"/>
          </w:tcPr>
          <w:p w14:paraId="398586B1">
            <w:pPr>
              <w:jc w:val="center"/>
              <w:rPr>
                <w:rFonts w:eastAsia="等线"/>
                <w:color w:val="000000"/>
                <w:sz w:val="20"/>
                <w:szCs w:val="18"/>
              </w:rPr>
            </w:pPr>
            <w:r>
              <w:rPr>
                <w:rFonts w:eastAsia="等线"/>
                <w:color w:val="000000"/>
                <w:sz w:val="20"/>
                <w:szCs w:val="18"/>
              </w:rPr>
              <w:t>97.6</w:t>
            </w:r>
          </w:p>
        </w:tc>
        <w:tc>
          <w:tcPr>
            <w:tcW w:w="666" w:type="dxa"/>
            <w:vAlign w:val="center"/>
          </w:tcPr>
          <w:p w14:paraId="710AFD65">
            <w:pPr>
              <w:jc w:val="center"/>
              <w:rPr>
                <w:rFonts w:eastAsia="等线"/>
                <w:color w:val="000000"/>
                <w:sz w:val="20"/>
                <w:szCs w:val="18"/>
              </w:rPr>
            </w:pPr>
            <w:r>
              <w:rPr>
                <w:rFonts w:eastAsia="等线"/>
                <w:color w:val="000000"/>
                <w:sz w:val="20"/>
                <w:szCs w:val="18"/>
              </w:rPr>
              <w:t>97.8</w:t>
            </w:r>
          </w:p>
        </w:tc>
        <w:tc>
          <w:tcPr>
            <w:tcW w:w="666" w:type="dxa"/>
            <w:vAlign w:val="center"/>
          </w:tcPr>
          <w:p w14:paraId="33FAC5E1">
            <w:pPr>
              <w:jc w:val="center"/>
              <w:rPr>
                <w:rFonts w:eastAsia="等线"/>
                <w:color w:val="000000"/>
                <w:sz w:val="20"/>
                <w:szCs w:val="18"/>
              </w:rPr>
            </w:pPr>
            <w:r>
              <w:rPr>
                <w:rFonts w:eastAsia="等线"/>
                <w:color w:val="000000"/>
                <w:sz w:val="20"/>
                <w:szCs w:val="18"/>
              </w:rPr>
              <w:t>100.8</w:t>
            </w:r>
          </w:p>
        </w:tc>
        <w:tc>
          <w:tcPr>
            <w:tcW w:w="666" w:type="dxa"/>
            <w:vAlign w:val="center"/>
          </w:tcPr>
          <w:p w14:paraId="3275A5C3">
            <w:pPr>
              <w:jc w:val="center"/>
              <w:rPr>
                <w:rFonts w:eastAsia="等线"/>
                <w:color w:val="000000"/>
                <w:sz w:val="20"/>
                <w:szCs w:val="18"/>
              </w:rPr>
            </w:pPr>
            <w:r>
              <w:rPr>
                <w:rFonts w:eastAsia="等线"/>
                <w:color w:val="000000"/>
                <w:sz w:val="20"/>
                <w:szCs w:val="18"/>
              </w:rPr>
              <w:t>99.9</w:t>
            </w:r>
          </w:p>
        </w:tc>
        <w:tc>
          <w:tcPr>
            <w:tcW w:w="666" w:type="dxa"/>
            <w:vAlign w:val="center"/>
          </w:tcPr>
          <w:p w14:paraId="52E36766">
            <w:pPr>
              <w:jc w:val="center"/>
              <w:rPr>
                <w:rFonts w:eastAsia="等线"/>
                <w:color w:val="000000"/>
                <w:sz w:val="20"/>
                <w:szCs w:val="18"/>
              </w:rPr>
            </w:pPr>
            <w:r>
              <w:rPr>
                <w:rFonts w:eastAsia="等线"/>
                <w:color w:val="000000"/>
                <w:sz w:val="20"/>
                <w:szCs w:val="18"/>
              </w:rPr>
              <w:t>100.5</w:t>
            </w:r>
          </w:p>
        </w:tc>
        <w:tc>
          <w:tcPr>
            <w:tcW w:w="666" w:type="dxa"/>
            <w:vAlign w:val="center"/>
          </w:tcPr>
          <w:p w14:paraId="16580FC5">
            <w:pPr>
              <w:jc w:val="center"/>
              <w:rPr>
                <w:rFonts w:eastAsia="等线"/>
                <w:color w:val="000000"/>
                <w:sz w:val="20"/>
                <w:szCs w:val="18"/>
              </w:rPr>
            </w:pPr>
            <w:r>
              <w:rPr>
                <w:rFonts w:eastAsia="等线"/>
                <w:color w:val="000000"/>
                <w:sz w:val="20"/>
                <w:szCs w:val="18"/>
              </w:rPr>
              <w:t>102.4</w:t>
            </w:r>
          </w:p>
        </w:tc>
        <w:tc>
          <w:tcPr>
            <w:tcW w:w="666" w:type="dxa"/>
            <w:vAlign w:val="center"/>
          </w:tcPr>
          <w:p w14:paraId="7007749D">
            <w:pPr>
              <w:jc w:val="center"/>
              <w:rPr>
                <w:rFonts w:eastAsia="等线"/>
                <w:color w:val="000000"/>
                <w:sz w:val="20"/>
                <w:szCs w:val="18"/>
              </w:rPr>
            </w:pPr>
            <w:r>
              <w:rPr>
                <w:rFonts w:eastAsia="等线"/>
                <w:color w:val="000000"/>
                <w:sz w:val="20"/>
                <w:szCs w:val="18"/>
              </w:rPr>
              <w:t>100.3</w:t>
            </w:r>
          </w:p>
        </w:tc>
        <w:tc>
          <w:tcPr>
            <w:tcW w:w="666" w:type="dxa"/>
            <w:vAlign w:val="center"/>
          </w:tcPr>
          <w:p w14:paraId="34D56C5C">
            <w:pPr>
              <w:jc w:val="center"/>
              <w:rPr>
                <w:rFonts w:eastAsia="等线"/>
                <w:color w:val="000000"/>
                <w:sz w:val="20"/>
                <w:szCs w:val="18"/>
              </w:rPr>
            </w:pPr>
            <w:r>
              <w:rPr>
                <w:rFonts w:eastAsia="等线"/>
                <w:color w:val="000000"/>
                <w:sz w:val="20"/>
                <w:szCs w:val="18"/>
              </w:rPr>
              <w:t>99.3</w:t>
            </w:r>
          </w:p>
        </w:tc>
        <w:tc>
          <w:tcPr>
            <w:tcW w:w="666" w:type="dxa"/>
            <w:vAlign w:val="center"/>
          </w:tcPr>
          <w:p w14:paraId="49A4AAE4">
            <w:pPr>
              <w:jc w:val="center"/>
              <w:rPr>
                <w:rFonts w:eastAsia="等线"/>
                <w:color w:val="000000"/>
                <w:sz w:val="20"/>
                <w:szCs w:val="18"/>
              </w:rPr>
            </w:pPr>
            <w:r>
              <w:rPr>
                <w:rFonts w:eastAsia="等线"/>
                <w:color w:val="000000"/>
                <w:sz w:val="20"/>
                <w:szCs w:val="18"/>
              </w:rPr>
              <w:t>101.2</w:t>
            </w:r>
          </w:p>
        </w:tc>
      </w:tr>
      <w:tr w14:paraId="4F63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0" w:type="dxa"/>
            <w:vAlign w:val="center"/>
          </w:tcPr>
          <w:p w14:paraId="20847650">
            <w:pPr>
              <w:jc w:val="center"/>
              <w:rPr>
                <w:kern w:val="0"/>
                <w:sz w:val="20"/>
              </w:rPr>
            </w:pPr>
            <w:r>
              <w:rPr>
                <w:kern w:val="0"/>
                <w:sz w:val="20"/>
              </w:rPr>
              <w:t>修正</w:t>
            </w:r>
          </w:p>
          <w:p w14:paraId="7A055FAE">
            <w:pPr>
              <w:jc w:val="center"/>
              <w:rPr>
                <w:rFonts w:eastAsia="Times New Roman"/>
                <w:kern w:val="0"/>
                <w:sz w:val="20"/>
              </w:rPr>
            </w:pPr>
            <w:r>
              <w:rPr>
                <w:kern w:val="0"/>
                <w:sz w:val="20"/>
              </w:rPr>
              <w:t>系数</w:t>
            </w:r>
          </w:p>
        </w:tc>
        <w:tc>
          <w:tcPr>
            <w:tcW w:w="736" w:type="dxa"/>
            <w:vAlign w:val="center"/>
          </w:tcPr>
          <w:p w14:paraId="1A7333CB">
            <w:pPr>
              <w:jc w:val="center"/>
              <w:rPr>
                <w:rFonts w:eastAsia="等线"/>
                <w:color w:val="000000"/>
                <w:sz w:val="20"/>
                <w:szCs w:val="18"/>
              </w:rPr>
            </w:pPr>
            <w:r>
              <w:rPr>
                <w:sz w:val="20"/>
              </w:rPr>
              <w:t xml:space="preserve">1.051 </w:t>
            </w:r>
          </w:p>
        </w:tc>
        <w:tc>
          <w:tcPr>
            <w:tcW w:w="666" w:type="dxa"/>
            <w:vAlign w:val="center"/>
          </w:tcPr>
          <w:p w14:paraId="4292A180">
            <w:pPr>
              <w:jc w:val="center"/>
              <w:rPr>
                <w:rFonts w:eastAsia="等线"/>
                <w:color w:val="000000"/>
                <w:sz w:val="20"/>
                <w:szCs w:val="18"/>
              </w:rPr>
            </w:pPr>
            <w:r>
              <w:rPr>
                <w:sz w:val="20"/>
              </w:rPr>
              <w:t xml:space="preserve">1.014 </w:t>
            </w:r>
          </w:p>
        </w:tc>
        <w:tc>
          <w:tcPr>
            <w:tcW w:w="666" w:type="dxa"/>
            <w:vAlign w:val="center"/>
          </w:tcPr>
          <w:p w14:paraId="5882C2DD">
            <w:pPr>
              <w:jc w:val="center"/>
              <w:rPr>
                <w:rFonts w:eastAsia="等线"/>
                <w:color w:val="000000"/>
                <w:sz w:val="20"/>
                <w:szCs w:val="18"/>
              </w:rPr>
            </w:pPr>
            <w:r>
              <w:rPr>
                <w:sz w:val="20"/>
              </w:rPr>
              <w:t xml:space="preserve">0.998 </w:t>
            </w:r>
          </w:p>
        </w:tc>
        <w:tc>
          <w:tcPr>
            <w:tcW w:w="666" w:type="dxa"/>
            <w:vAlign w:val="center"/>
          </w:tcPr>
          <w:p w14:paraId="0F0166D3">
            <w:pPr>
              <w:jc w:val="center"/>
              <w:rPr>
                <w:rFonts w:eastAsia="等线"/>
                <w:color w:val="000000"/>
                <w:sz w:val="20"/>
                <w:szCs w:val="18"/>
              </w:rPr>
            </w:pPr>
            <w:r>
              <w:rPr>
                <w:sz w:val="20"/>
              </w:rPr>
              <w:t xml:space="preserve">0.970 </w:t>
            </w:r>
          </w:p>
        </w:tc>
        <w:tc>
          <w:tcPr>
            <w:tcW w:w="666" w:type="dxa"/>
            <w:vAlign w:val="center"/>
          </w:tcPr>
          <w:p w14:paraId="57047856">
            <w:pPr>
              <w:jc w:val="center"/>
              <w:rPr>
                <w:rFonts w:eastAsia="等线"/>
                <w:color w:val="000000"/>
                <w:sz w:val="20"/>
                <w:szCs w:val="18"/>
              </w:rPr>
            </w:pPr>
            <w:r>
              <w:rPr>
                <w:sz w:val="20"/>
              </w:rPr>
              <w:t xml:space="preserve">1.009 </w:t>
            </w:r>
          </w:p>
        </w:tc>
        <w:tc>
          <w:tcPr>
            <w:tcW w:w="666" w:type="dxa"/>
            <w:vAlign w:val="center"/>
          </w:tcPr>
          <w:p w14:paraId="7946C430">
            <w:pPr>
              <w:jc w:val="center"/>
              <w:rPr>
                <w:rFonts w:eastAsia="等线"/>
                <w:color w:val="000000"/>
                <w:sz w:val="20"/>
                <w:szCs w:val="18"/>
              </w:rPr>
            </w:pPr>
            <w:r>
              <w:rPr>
                <w:sz w:val="20"/>
              </w:rPr>
              <w:t xml:space="preserve">0.994 </w:t>
            </w:r>
          </w:p>
        </w:tc>
        <w:tc>
          <w:tcPr>
            <w:tcW w:w="666" w:type="dxa"/>
            <w:vAlign w:val="center"/>
          </w:tcPr>
          <w:p w14:paraId="0A7AA1E3">
            <w:pPr>
              <w:jc w:val="center"/>
              <w:rPr>
                <w:rFonts w:eastAsia="等线"/>
                <w:color w:val="000000"/>
                <w:sz w:val="20"/>
                <w:szCs w:val="18"/>
              </w:rPr>
            </w:pPr>
            <w:r>
              <w:rPr>
                <w:sz w:val="20"/>
              </w:rPr>
              <w:t xml:space="preserve">0.981 </w:t>
            </w:r>
          </w:p>
        </w:tc>
        <w:tc>
          <w:tcPr>
            <w:tcW w:w="666" w:type="dxa"/>
            <w:vAlign w:val="center"/>
          </w:tcPr>
          <w:p w14:paraId="52C22339">
            <w:pPr>
              <w:jc w:val="center"/>
              <w:rPr>
                <w:rFonts w:eastAsia="等线"/>
                <w:color w:val="000000"/>
                <w:sz w:val="20"/>
                <w:szCs w:val="18"/>
              </w:rPr>
            </w:pPr>
            <w:r>
              <w:rPr>
                <w:sz w:val="20"/>
              </w:rPr>
              <w:t xml:space="preserve">1.021 </w:t>
            </w:r>
          </w:p>
        </w:tc>
        <w:tc>
          <w:tcPr>
            <w:tcW w:w="666" w:type="dxa"/>
            <w:vAlign w:val="center"/>
          </w:tcPr>
          <w:p w14:paraId="31C78B23">
            <w:pPr>
              <w:jc w:val="center"/>
              <w:rPr>
                <w:rFonts w:eastAsia="等线"/>
                <w:color w:val="000000"/>
                <w:sz w:val="20"/>
                <w:szCs w:val="18"/>
              </w:rPr>
            </w:pPr>
            <w:r>
              <w:rPr>
                <w:sz w:val="20"/>
              </w:rPr>
              <w:t xml:space="preserve">1.010 </w:t>
            </w:r>
          </w:p>
        </w:tc>
        <w:tc>
          <w:tcPr>
            <w:tcW w:w="666" w:type="dxa"/>
            <w:vAlign w:val="center"/>
          </w:tcPr>
          <w:p w14:paraId="63F057AA">
            <w:pPr>
              <w:jc w:val="center"/>
              <w:rPr>
                <w:rFonts w:eastAsia="等线"/>
                <w:color w:val="000000"/>
                <w:sz w:val="20"/>
                <w:szCs w:val="18"/>
              </w:rPr>
            </w:pPr>
            <w:r>
              <w:rPr>
                <w:sz w:val="20"/>
              </w:rPr>
              <w:t xml:space="preserve">0.981 </w:t>
            </w:r>
          </w:p>
        </w:tc>
        <w:tc>
          <w:tcPr>
            <w:tcW w:w="666" w:type="dxa"/>
            <w:vAlign w:val="center"/>
          </w:tcPr>
          <w:p w14:paraId="4EA46794">
            <w:pPr>
              <w:jc w:val="center"/>
              <w:rPr>
                <w:rFonts w:eastAsia="等线"/>
                <w:color w:val="000000"/>
                <w:sz w:val="20"/>
                <w:szCs w:val="18"/>
              </w:rPr>
            </w:pPr>
            <w:r>
              <w:rPr>
                <w:sz w:val="20"/>
              </w:rPr>
              <w:t>1</w:t>
            </w:r>
          </w:p>
        </w:tc>
      </w:tr>
    </w:tbl>
    <w:p w14:paraId="03999E92">
      <w:pPr>
        <w:spacing w:line="360" w:lineRule="auto"/>
        <w:ind w:firstLine="480"/>
        <w:rPr>
          <w:sz w:val="24"/>
        </w:rPr>
      </w:pPr>
      <w:r>
        <w:rPr>
          <w:rFonts w:hint="eastAsia" w:ascii="宋体" w:hAnsi="宋体" w:cs="宋体"/>
          <w:sz w:val="24"/>
        </w:rPr>
        <w:t>③</w:t>
      </w:r>
      <w:r>
        <w:rPr>
          <w:sz w:val="24"/>
        </w:rPr>
        <w:t>剩余使用年期修正</w:t>
      </w:r>
    </w:p>
    <w:p w14:paraId="7751CDA8">
      <w:pPr>
        <w:spacing w:line="500" w:lineRule="exact"/>
        <w:ind w:firstLine="482"/>
        <w:rPr>
          <w:sz w:val="24"/>
        </w:rPr>
      </w:pPr>
      <w:r>
        <w:rPr>
          <w:sz w:val="24"/>
        </w:rPr>
        <w:t>根据设定土地使用年限及土地还原率计算年期修正系数，当估价对象剩余使用年期不足对应用途土地最高使用年限时，应进行使用年期修正。</w:t>
      </w:r>
    </w:p>
    <w:p w14:paraId="50511F61">
      <w:pPr>
        <w:spacing w:line="500" w:lineRule="exact"/>
        <w:ind w:firstLine="482"/>
        <w:rPr>
          <w:sz w:val="24"/>
        </w:rPr>
      </w:pPr>
      <w:r>
        <w:rPr>
          <w:sz w:val="24"/>
        </w:rPr>
        <w:t>依据前面确定的土地还原率，及最高土地出让年期30年，计算国有农用地的使用年期修正系数，具体计算公式如下：</w:t>
      </w:r>
    </w:p>
    <w:p w14:paraId="709DCB5D">
      <w:pPr>
        <w:spacing w:line="360" w:lineRule="auto"/>
        <w:ind w:firstLine="480"/>
        <w:rPr>
          <w:sz w:val="24"/>
        </w:rPr>
      </w:pPr>
      <m:oMathPara>
        <m:oMath>
          <m:sSub>
            <m:sSubPr>
              <m:ctrlPr>
                <w:rPr>
                  <w:rFonts w:ascii="Cambria Math" w:hAnsi="Cambria Math"/>
                  <w:sz w:val="24"/>
                </w:rPr>
              </m:ctrlPr>
            </m:sSubPr>
            <m:e>
              <m:r>
                <m:rPr/>
                <w:rPr>
                  <w:rFonts w:ascii="Cambria Math" w:hAnsi="Cambria Math"/>
                  <w:sz w:val="24"/>
                </w:rPr>
                <m:t>K</m:t>
              </m:r>
              <m:ctrlPr>
                <w:rPr>
                  <w:rFonts w:ascii="Cambria Math" w:hAnsi="Cambria Math"/>
                  <w:sz w:val="24"/>
                </w:rPr>
              </m:ctrlPr>
            </m:e>
            <m:sub>
              <m:r>
                <m:rPr/>
                <w:rPr>
                  <w:rFonts w:ascii="Cambria Math" w:hAnsi="Cambria Math"/>
                  <w:sz w:val="24"/>
                </w:rPr>
                <m:t>y</m:t>
              </m:r>
              <m:ctrlPr>
                <w:rPr>
                  <w:rFonts w:ascii="Cambria Math" w:hAnsi="Cambria Math"/>
                  <w:sz w:val="24"/>
                </w:rPr>
              </m:ctrlPr>
            </m:sub>
          </m:sSub>
          <m:r>
            <m:rPr/>
            <w:rPr>
              <w:rFonts w:ascii="Cambria Math" w:hAnsi="Cambria Math"/>
              <w:sz w:val="24"/>
            </w:rPr>
            <m:t>=</m:t>
          </m:r>
          <m:f>
            <m:fPr>
              <m:ctrlPr>
                <w:rPr>
                  <w:rFonts w:ascii="Cambria Math" w:hAnsi="Cambria Math"/>
                  <w:i/>
                  <w:sz w:val="24"/>
                </w:rPr>
              </m:ctrlPr>
            </m:fPr>
            <m:num>
              <m:r>
                <m:rPr>
                  <m:sty m:val="p"/>
                </m:rPr>
                <w:rPr>
                  <w:rFonts w:ascii="Cambria Math" w:hAnsi="Cambria Math"/>
                  <w:sz w:val="24"/>
                </w:rPr>
                <m:t>[1−</m:t>
              </m:r>
              <m:f>
                <m:fPr>
                  <m:ctrlPr>
                    <w:rPr>
                      <w:rFonts w:ascii="Cambria Math" w:hAnsi="Cambria Math"/>
                      <w:sz w:val="24"/>
                    </w:rPr>
                  </m:ctrlPr>
                </m:fPr>
                <m:num>
                  <m:r>
                    <m:rPr/>
                    <w:rPr>
                      <w:rFonts w:ascii="Cambria Math" w:hAnsi="Cambria Math"/>
                      <w:sz w:val="24"/>
                    </w:rPr>
                    <m:t>1</m:t>
                  </m:r>
                  <m:ctrlPr>
                    <w:rPr>
                      <w:rFonts w:ascii="Cambria Math" w:hAnsi="Cambria Math"/>
                      <w:sz w:val="24"/>
                    </w:rPr>
                  </m:ctrlPr>
                </m:num>
                <m:den>
                  <m:sSup>
                    <m:sSupPr>
                      <m:ctrlPr>
                        <w:rPr>
                          <w:rFonts w:ascii="Cambria Math" w:hAnsi="Cambria Math"/>
                          <w:i/>
                          <w:sz w:val="24"/>
                        </w:rPr>
                      </m:ctrlPr>
                    </m:sSupPr>
                    <m:e>
                      <m:r>
                        <m:rPr/>
                        <w:rPr>
                          <w:rFonts w:ascii="Cambria Math" w:hAnsi="Cambria Math"/>
                          <w:sz w:val="24"/>
                        </w:rPr>
                        <m:t>(1+r)</m:t>
                      </m:r>
                      <m:ctrlPr>
                        <w:rPr>
                          <w:rFonts w:ascii="Cambria Math" w:hAnsi="Cambria Math"/>
                          <w:i/>
                          <w:sz w:val="24"/>
                        </w:rPr>
                      </m:ctrlPr>
                    </m:e>
                    <m:sup>
                      <m:r>
                        <m:rPr/>
                        <w:rPr>
                          <w:rFonts w:ascii="Cambria Math" w:hAnsi="Cambria Math"/>
                          <w:sz w:val="24"/>
                        </w:rPr>
                        <m:t>ml</m:t>
                      </m:r>
                      <m:ctrlPr>
                        <w:rPr>
                          <w:rFonts w:ascii="Cambria Math" w:hAnsi="Cambria Math"/>
                          <w:i/>
                          <w:sz w:val="24"/>
                        </w:rPr>
                      </m:ctrlPr>
                    </m:sup>
                  </m:sSup>
                  <m:ctrlPr>
                    <w:rPr>
                      <w:rFonts w:ascii="Cambria Math" w:hAnsi="Cambria Math"/>
                      <w:sz w:val="24"/>
                    </w:rPr>
                  </m:ctrlPr>
                </m:den>
              </m:f>
              <m:r>
                <m:rPr>
                  <m:sty m:val="p"/>
                </m:rPr>
                <w:rPr>
                  <w:rFonts w:ascii="Cambria Math" w:hAnsi="Cambria Math"/>
                  <w:sz w:val="24"/>
                </w:rPr>
                <m:t>]</m:t>
              </m:r>
              <m:ctrlPr>
                <w:rPr>
                  <w:rFonts w:ascii="Cambria Math" w:hAnsi="Cambria Math"/>
                  <w:i/>
                  <w:sz w:val="24"/>
                </w:rPr>
              </m:ctrlPr>
            </m:num>
            <m:den>
              <m:r>
                <m:rPr>
                  <m:sty m:val="p"/>
                </m:rPr>
                <w:rPr>
                  <w:rFonts w:ascii="Cambria Math" w:hAnsi="Cambria Math"/>
                  <w:sz w:val="24"/>
                </w:rPr>
                <m:t>[1−</m:t>
              </m:r>
              <m:f>
                <m:fPr>
                  <m:ctrlPr>
                    <w:rPr>
                      <w:rFonts w:ascii="Cambria Math" w:hAnsi="Cambria Math"/>
                      <w:sz w:val="24"/>
                    </w:rPr>
                  </m:ctrlPr>
                </m:fPr>
                <m:num>
                  <m:r>
                    <m:rPr/>
                    <w:rPr>
                      <w:rFonts w:ascii="Cambria Math" w:hAnsi="Cambria Math"/>
                      <w:sz w:val="24"/>
                    </w:rPr>
                    <m:t>1</m:t>
                  </m:r>
                  <m:ctrlPr>
                    <w:rPr>
                      <w:rFonts w:ascii="Cambria Math" w:hAnsi="Cambria Math"/>
                      <w:sz w:val="24"/>
                    </w:rPr>
                  </m:ctrlPr>
                </m:num>
                <m:den>
                  <m:sSup>
                    <m:sSupPr>
                      <m:ctrlPr>
                        <w:rPr>
                          <w:rFonts w:ascii="Cambria Math" w:hAnsi="Cambria Math"/>
                          <w:i/>
                          <w:sz w:val="24"/>
                        </w:rPr>
                      </m:ctrlPr>
                    </m:sSupPr>
                    <m:e>
                      <m:d>
                        <m:dPr>
                          <m:ctrlPr>
                            <w:rPr>
                              <w:rFonts w:ascii="Cambria Math" w:hAnsi="Cambria Math"/>
                              <w:i/>
                              <w:sz w:val="24"/>
                            </w:rPr>
                          </m:ctrlPr>
                        </m:dPr>
                        <m:e>
                          <m:r>
                            <m:rPr/>
                            <w:rPr>
                              <w:rFonts w:ascii="Cambria Math" w:hAnsi="Cambria Math"/>
                              <w:sz w:val="24"/>
                            </w:rPr>
                            <m:t>1+r</m:t>
                          </m:r>
                          <m:ctrlPr>
                            <w:rPr>
                              <w:rFonts w:ascii="Cambria Math" w:hAnsi="Cambria Math"/>
                              <w:i/>
                              <w:sz w:val="24"/>
                            </w:rPr>
                          </m:ctrlPr>
                        </m:e>
                      </m:d>
                      <m:ctrlPr>
                        <w:rPr>
                          <w:rFonts w:ascii="Cambria Math" w:hAnsi="Cambria Math"/>
                          <w:i/>
                          <w:sz w:val="24"/>
                        </w:rPr>
                      </m:ctrlPr>
                    </m:e>
                    <m:sup>
                      <m:r>
                        <m:rPr/>
                        <w:rPr>
                          <w:rFonts w:ascii="Cambria Math" w:hAnsi="Cambria Math"/>
                          <w:sz w:val="24"/>
                        </w:rPr>
                        <m:t>m</m:t>
                      </m:r>
                      <m:ctrlPr>
                        <w:rPr>
                          <w:rFonts w:ascii="Cambria Math" w:hAnsi="Cambria Math"/>
                          <w:i/>
                          <w:sz w:val="24"/>
                        </w:rPr>
                      </m:ctrlPr>
                    </m:sup>
                  </m:sSup>
                  <m:ctrlPr>
                    <w:rPr>
                      <w:rFonts w:ascii="Cambria Math" w:hAnsi="Cambria Math"/>
                      <w:sz w:val="24"/>
                    </w:rPr>
                  </m:ctrlPr>
                </m:den>
              </m:f>
              <m:r>
                <m:rPr/>
                <w:rPr>
                  <w:rFonts w:ascii="Cambria Math" w:hAnsi="Cambria Math"/>
                  <w:sz w:val="24"/>
                </w:rPr>
                <m:t>]</m:t>
              </m:r>
              <m:ctrlPr>
                <w:rPr>
                  <w:rFonts w:ascii="Cambria Math" w:hAnsi="Cambria Math"/>
                  <w:i/>
                  <w:sz w:val="24"/>
                </w:rPr>
              </m:ctrlPr>
            </m:den>
          </m:f>
        </m:oMath>
      </m:oMathPara>
    </w:p>
    <w:p w14:paraId="393D3770">
      <w:pPr>
        <w:spacing w:line="500" w:lineRule="exact"/>
        <w:ind w:firstLine="482"/>
        <w:rPr>
          <w:sz w:val="24"/>
        </w:rPr>
      </w:pPr>
      <w:r>
        <w:rPr>
          <w:sz w:val="24"/>
        </w:rPr>
        <w:t>其中：K</w:t>
      </w:r>
      <w:r>
        <w:rPr>
          <w:sz w:val="24"/>
          <w:vertAlign w:val="subscript"/>
        </w:rPr>
        <w:t>y</w:t>
      </w:r>
      <w:r>
        <w:rPr>
          <w:sz w:val="24"/>
        </w:rPr>
        <w:t>表示土地使用年期修正系数；r表示土地还原率；ml表示实际出让年限；m表示最高土地出让年期</w:t>
      </w:r>
      <w:r>
        <w:rPr>
          <w:rFonts w:hint="eastAsia"/>
          <w:sz w:val="24"/>
        </w:rPr>
        <w:t>，具体</w:t>
      </w:r>
      <w:r>
        <w:rPr>
          <w:sz w:val="24"/>
        </w:rPr>
        <w:t>使用年期修正</w:t>
      </w:r>
      <w:r>
        <w:rPr>
          <w:rFonts w:hint="eastAsia"/>
          <w:sz w:val="24"/>
        </w:rPr>
        <w:t>系数</w:t>
      </w:r>
      <w:r>
        <w:rPr>
          <w:sz w:val="24"/>
        </w:rPr>
        <w:t>见表</w:t>
      </w:r>
      <w:r>
        <w:rPr>
          <w:rFonts w:hint="eastAsia"/>
          <w:sz w:val="24"/>
        </w:rPr>
        <w:t>4</w:t>
      </w:r>
      <w:r>
        <w:rPr>
          <w:sz w:val="24"/>
        </w:rPr>
        <w:t>-10</w:t>
      </w:r>
      <w:r>
        <w:rPr>
          <w:rFonts w:hint="eastAsia"/>
          <w:sz w:val="24"/>
        </w:rPr>
        <w:t>。</w:t>
      </w:r>
    </w:p>
    <w:p w14:paraId="276B5D65">
      <w:pPr>
        <w:ind w:firstLine="422"/>
        <w:jc w:val="center"/>
        <w:rPr>
          <w:b/>
          <w:szCs w:val="21"/>
        </w:rPr>
      </w:pPr>
      <w:r>
        <w:rPr>
          <w:b/>
          <w:szCs w:val="21"/>
        </w:rPr>
        <w:t xml:space="preserve">表4-10 </w:t>
      </w:r>
      <w:r>
        <w:rPr>
          <w:rFonts w:hint="eastAsia"/>
          <w:b/>
          <w:szCs w:val="21"/>
        </w:rPr>
        <w:t>鄂州市</w:t>
      </w:r>
      <w:r>
        <w:rPr>
          <w:b/>
          <w:szCs w:val="21"/>
        </w:rPr>
        <w:t>国有农用地使用年期修正系数表</w:t>
      </w:r>
    </w:p>
    <w:tbl>
      <w:tblPr>
        <w:tblStyle w:val="39"/>
        <w:tblW w:w="8296" w:type="dxa"/>
        <w:jc w:val="center"/>
        <w:tblLayout w:type="fixed"/>
        <w:tblCellMar>
          <w:top w:w="15" w:type="dxa"/>
          <w:left w:w="15" w:type="dxa"/>
          <w:bottom w:w="15" w:type="dxa"/>
          <w:right w:w="15" w:type="dxa"/>
        </w:tblCellMar>
      </w:tblPr>
      <w:tblGrid>
        <w:gridCol w:w="905"/>
        <w:gridCol w:w="1376"/>
        <w:gridCol w:w="1269"/>
        <w:gridCol w:w="1375"/>
        <w:gridCol w:w="1269"/>
        <w:gridCol w:w="1052"/>
        <w:gridCol w:w="1050"/>
      </w:tblGrid>
      <w:tr w14:paraId="75BF5154">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245B">
            <w:pPr>
              <w:jc w:val="center"/>
              <w:textAlignment w:val="center"/>
              <w:rPr>
                <w:color w:val="000000"/>
                <w:szCs w:val="21"/>
              </w:rPr>
            </w:pPr>
            <w:r>
              <w:rPr>
                <w:color w:val="000000"/>
                <w:kern w:val="0"/>
                <w:szCs w:val="21"/>
              </w:rPr>
              <w:t>使用年期</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607B">
            <w:pPr>
              <w:jc w:val="center"/>
              <w:textAlignment w:val="center"/>
              <w:rPr>
                <w:color w:val="000000"/>
                <w:szCs w:val="21"/>
              </w:rPr>
            </w:pPr>
            <w:r>
              <w:rPr>
                <w:color w:val="000000"/>
                <w:kern w:val="0"/>
                <w:szCs w:val="21"/>
              </w:rPr>
              <w:t>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A937">
            <w:pPr>
              <w:jc w:val="center"/>
              <w:textAlignment w:val="center"/>
              <w:rPr>
                <w:color w:val="000000"/>
                <w:szCs w:val="21"/>
              </w:rPr>
            </w:pPr>
            <w:r>
              <w:rPr>
                <w:color w:val="000000"/>
                <w:kern w:val="0"/>
                <w:szCs w:val="21"/>
              </w:rPr>
              <w:t>2</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F11B">
            <w:pPr>
              <w:jc w:val="center"/>
              <w:textAlignment w:val="center"/>
              <w:rPr>
                <w:color w:val="000000"/>
                <w:szCs w:val="21"/>
              </w:rPr>
            </w:pPr>
            <w:r>
              <w:rPr>
                <w:color w:val="000000"/>
                <w:kern w:val="0"/>
                <w:szCs w:val="21"/>
              </w:rPr>
              <w:t>3</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2341">
            <w:pPr>
              <w:jc w:val="center"/>
              <w:textAlignment w:val="center"/>
              <w:rPr>
                <w:color w:val="000000"/>
                <w:szCs w:val="21"/>
              </w:rPr>
            </w:pPr>
            <w:r>
              <w:rPr>
                <w:color w:val="000000"/>
                <w:kern w:val="0"/>
                <w:szCs w:val="21"/>
              </w:rPr>
              <w:t>4</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2326">
            <w:pPr>
              <w:jc w:val="center"/>
              <w:textAlignment w:val="center"/>
              <w:rPr>
                <w:color w:val="000000"/>
                <w:szCs w:val="21"/>
              </w:rPr>
            </w:pPr>
            <w:r>
              <w:rPr>
                <w:color w:val="000000"/>
                <w:kern w:val="0"/>
                <w:szCs w:val="21"/>
              </w:rPr>
              <w:t>5</w:t>
            </w:r>
          </w:p>
        </w:tc>
        <w:tc>
          <w:tcPr>
            <w:tcW w:w="1050" w:type="dxa"/>
            <w:tcBorders>
              <w:top w:val="single" w:color="000000" w:sz="4" w:space="0"/>
              <w:left w:val="single" w:color="000000" w:sz="4" w:space="0"/>
              <w:bottom w:val="single" w:color="000000" w:sz="4" w:space="0"/>
              <w:right w:val="single" w:color="000000" w:sz="4" w:space="0"/>
            </w:tcBorders>
            <w:vAlign w:val="center"/>
          </w:tcPr>
          <w:p w14:paraId="75C9754A">
            <w:pPr>
              <w:jc w:val="center"/>
              <w:textAlignment w:val="center"/>
              <w:rPr>
                <w:color w:val="000000"/>
                <w:kern w:val="0"/>
                <w:szCs w:val="21"/>
              </w:rPr>
            </w:pPr>
            <w:r>
              <w:rPr>
                <w:color w:val="000000"/>
                <w:kern w:val="0"/>
                <w:szCs w:val="21"/>
              </w:rPr>
              <w:t>6</w:t>
            </w:r>
          </w:p>
        </w:tc>
      </w:tr>
      <w:tr w14:paraId="32BEB0E8">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4080">
            <w:pPr>
              <w:jc w:val="center"/>
              <w:textAlignment w:val="center"/>
              <w:rPr>
                <w:color w:val="000000"/>
                <w:szCs w:val="21"/>
              </w:rPr>
            </w:pPr>
            <w:r>
              <w:rPr>
                <w:color w:val="000000"/>
                <w:kern w:val="0"/>
                <w:szCs w:val="21"/>
              </w:rPr>
              <w:t>修正系数</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6872">
            <w:pPr>
              <w:jc w:val="center"/>
              <w:rPr>
                <w:rFonts w:eastAsia="等线"/>
                <w:color w:val="000000"/>
                <w:kern w:val="0"/>
                <w:szCs w:val="21"/>
              </w:rPr>
            </w:pPr>
            <w:r>
              <w:rPr>
                <w:rFonts w:eastAsia="等线"/>
                <w:color w:val="000000"/>
                <w:szCs w:val="21"/>
              </w:rPr>
              <w:t xml:space="preserve">0.0564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6CC8">
            <w:pPr>
              <w:jc w:val="center"/>
              <w:rPr>
                <w:rFonts w:eastAsia="等线"/>
                <w:color w:val="000000"/>
                <w:szCs w:val="21"/>
              </w:rPr>
            </w:pPr>
            <w:r>
              <w:rPr>
                <w:rFonts w:eastAsia="等线"/>
                <w:color w:val="000000"/>
                <w:szCs w:val="21"/>
              </w:rPr>
              <w:t xml:space="preserve">0.1105 </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E359">
            <w:pPr>
              <w:jc w:val="center"/>
              <w:rPr>
                <w:rFonts w:eastAsia="等线"/>
                <w:color w:val="000000"/>
                <w:szCs w:val="21"/>
              </w:rPr>
            </w:pPr>
            <w:r>
              <w:rPr>
                <w:rFonts w:eastAsia="等线"/>
                <w:color w:val="000000"/>
                <w:szCs w:val="21"/>
              </w:rPr>
              <w:t xml:space="preserve">0.1625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11D4">
            <w:pPr>
              <w:jc w:val="center"/>
              <w:rPr>
                <w:rFonts w:eastAsia="等线"/>
                <w:color w:val="000000"/>
                <w:szCs w:val="21"/>
              </w:rPr>
            </w:pPr>
            <w:r>
              <w:rPr>
                <w:rFonts w:eastAsia="等线"/>
                <w:color w:val="000000"/>
                <w:szCs w:val="21"/>
              </w:rPr>
              <w:t xml:space="preserve">0.2124 </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F0D6">
            <w:pPr>
              <w:jc w:val="center"/>
              <w:rPr>
                <w:rFonts w:eastAsia="等线"/>
                <w:color w:val="000000"/>
                <w:szCs w:val="21"/>
              </w:rPr>
            </w:pPr>
            <w:r>
              <w:rPr>
                <w:rFonts w:eastAsia="等线"/>
                <w:color w:val="000000"/>
                <w:szCs w:val="21"/>
              </w:rPr>
              <w:t xml:space="preserve">0.2603 </w:t>
            </w:r>
          </w:p>
        </w:tc>
        <w:tc>
          <w:tcPr>
            <w:tcW w:w="1050" w:type="dxa"/>
            <w:tcBorders>
              <w:top w:val="single" w:color="000000" w:sz="4" w:space="0"/>
              <w:left w:val="single" w:color="000000" w:sz="4" w:space="0"/>
              <w:bottom w:val="single" w:color="000000" w:sz="4" w:space="0"/>
              <w:right w:val="single" w:color="000000" w:sz="4" w:space="0"/>
            </w:tcBorders>
            <w:vAlign w:val="center"/>
          </w:tcPr>
          <w:p w14:paraId="000BAC19">
            <w:pPr>
              <w:jc w:val="center"/>
              <w:rPr>
                <w:rFonts w:eastAsia="等线"/>
                <w:color w:val="000000"/>
                <w:szCs w:val="21"/>
              </w:rPr>
            </w:pPr>
            <w:r>
              <w:rPr>
                <w:rFonts w:eastAsia="等线"/>
                <w:color w:val="000000"/>
                <w:szCs w:val="21"/>
              </w:rPr>
              <w:t xml:space="preserve">0.3064 </w:t>
            </w:r>
          </w:p>
        </w:tc>
      </w:tr>
      <w:tr w14:paraId="043B620A">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6D26">
            <w:pPr>
              <w:jc w:val="center"/>
              <w:textAlignment w:val="center"/>
              <w:rPr>
                <w:color w:val="000000"/>
                <w:szCs w:val="21"/>
              </w:rPr>
            </w:pPr>
            <w:r>
              <w:rPr>
                <w:color w:val="000000"/>
                <w:kern w:val="0"/>
                <w:szCs w:val="21"/>
              </w:rPr>
              <w:t>使用年期</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A69F">
            <w:pPr>
              <w:jc w:val="center"/>
              <w:textAlignment w:val="center"/>
              <w:rPr>
                <w:color w:val="000000"/>
                <w:szCs w:val="21"/>
              </w:rPr>
            </w:pPr>
            <w:r>
              <w:rPr>
                <w:color w:val="000000"/>
                <w:kern w:val="0"/>
                <w:szCs w:val="21"/>
              </w:rPr>
              <w:t>7</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801C">
            <w:pPr>
              <w:jc w:val="center"/>
              <w:textAlignment w:val="center"/>
              <w:rPr>
                <w:color w:val="000000"/>
                <w:szCs w:val="21"/>
              </w:rPr>
            </w:pPr>
            <w:r>
              <w:rPr>
                <w:color w:val="000000"/>
                <w:kern w:val="0"/>
                <w:szCs w:val="21"/>
              </w:rPr>
              <w:t>8</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1B42">
            <w:pPr>
              <w:jc w:val="center"/>
              <w:textAlignment w:val="center"/>
              <w:rPr>
                <w:color w:val="000000"/>
                <w:szCs w:val="21"/>
              </w:rPr>
            </w:pPr>
            <w:r>
              <w:rPr>
                <w:color w:val="000000"/>
                <w:kern w:val="0"/>
                <w:szCs w:val="21"/>
              </w:rPr>
              <w:t>9</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506F">
            <w:pPr>
              <w:jc w:val="center"/>
              <w:textAlignment w:val="center"/>
              <w:rPr>
                <w:color w:val="000000"/>
                <w:szCs w:val="21"/>
              </w:rPr>
            </w:pPr>
            <w:r>
              <w:rPr>
                <w:color w:val="000000"/>
                <w:kern w:val="0"/>
                <w:szCs w:val="21"/>
              </w:rPr>
              <w:t>10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D394">
            <w:pPr>
              <w:jc w:val="center"/>
              <w:textAlignment w:val="center"/>
              <w:rPr>
                <w:color w:val="000000"/>
                <w:szCs w:val="21"/>
              </w:rPr>
            </w:pPr>
            <w:r>
              <w:rPr>
                <w:color w:val="000000"/>
                <w:kern w:val="0"/>
                <w:szCs w:val="21"/>
              </w:rPr>
              <w:t>11</w:t>
            </w:r>
          </w:p>
        </w:tc>
        <w:tc>
          <w:tcPr>
            <w:tcW w:w="1050" w:type="dxa"/>
            <w:tcBorders>
              <w:top w:val="single" w:color="000000" w:sz="4" w:space="0"/>
              <w:left w:val="single" w:color="000000" w:sz="4" w:space="0"/>
              <w:bottom w:val="single" w:color="000000" w:sz="4" w:space="0"/>
              <w:right w:val="single" w:color="000000" w:sz="4" w:space="0"/>
            </w:tcBorders>
            <w:vAlign w:val="center"/>
          </w:tcPr>
          <w:p w14:paraId="312CA5A7">
            <w:pPr>
              <w:jc w:val="center"/>
              <w:textAlignment w:val="center"/>
              <w:rPr>
                <w:color w:val="000000"/>
                <w:kern w:val="0"/>
                <w:szCs w:val="21"/>
              </w:rPr>
            </w:pPr>
            <w:r>
              <w:rPr>
                <w:color w:val="000000"/>
                <w:kern w:val="0"/>
                <w:szCs w:val="21"/>
              </w:rPr>
              <w:t>12</w:t>
            </w:r>
          </w:p>
        </w:tc>
      </w:tr>
      <w:tr w14:paraId="2D513F40">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33AC">
            <w:pPr>
              <w:jc w:val="center"/>
              <w:textAlignment w:val="center"/>
              <w:rPr>
                <w:color w:val="000000"/>
                <w:szCs w:val="21"/>
              </w:rPr>
            </w:pPr>
            <w:r>
              <w:rPr>
                <w:color w:val="000000"/>
                <w:kern w:val="0"/>
                <w:szCs w:val="21"/>
              </w:rPr>
              <w:t>修正系数</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7F92">
            <w:pPr>
              <w:jc w:val="center"/>
              <w:rPr>
                <w:rFonts w:eastAsia="等线"/>
                <w:color w:val="000000"/>
                <w:kern w:val="0"/>
                <w:szCs w:val="21"/>
              </w:rPr>
            </w:pPr>
            <w:r>
              <w:rPr>
                <w:rFonts w:eastAsia="等线"/>
                <w:color w:val="000000"/>
                <w:szCs w:val="21"/>
              </w:rPr>
              <w:t xml:space="preserve">0.3506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6F48">
            <w:pPr>
              <w:jc w:val="center"/>
              <w:rPr>
                <w:rFonts w:eastAsia="等线"/>
                <w:color w:val="000000"/>
                <w:szCs w:val="21"/>
              </w:rPr>
            </w:pPr>
            <w:r>
              <w:rPr>
                <w:rFonts w:eastAsia="等线"/>
                <w:color w:val="000000"/>
                <w:szCs w:val="21"/>
              </w:rPr>
              <w:t xml:space="preserve">0.3931 </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AAEF">
            <w:pPr>
              <w:jc w:val="center"/>
              <w:rPr>
                <w:rFonts w:eastAsia="等线"/>
                <w:color w:val="000000"/>
                <w:szCs w:val="21"/>
              </w:rPr>
            </w:pPr>
            <w:r>
              <w:rPr>
                <w:rFonts w:eastAsia="等线"/>
                <w:color w:val="000000"/>
                <w:szCs w:val="21"/>
              </w:rPr>
              <w:t xml:space="preserve">0.4339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CE54">
            <w:pPr>
              <w:jc w:val="center"/>
              <w:rPr>
                <w:rFonts w:eastAsia="等线"/>
                <w:color w:val="000000"/>
                <w:kern w:val="0"/>
                <w:szCs w:val="21"/>
              </w:rPr>
            </w:pPr>
            <w:r>
              <w:rPr>
                <w:rFonts w:eastAsia="等线"/>
                <w:color w:val="000000"/>
                <w:szCs w:val="21"/>
              </w:rPr>
              <w:t xml:space="preserve">0.4731 </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CA53">
            <w:pPr>
              <w:jc w:val="center"/>
              <w:rPr>
                <w:rFonts w:eastAsia="等线"/>
                <w:color w:val="000000"/>
                <w:szCs w:val="21"/>
              </w:rPr>
            </w:pPr>
            <w:r>
              <w:rPr>
                <w:rFonts w:eastAsia="等线"/>
                <w:color w:val="000000"/>
                <w:szCs w:val="21"/>
              </w:rPr>
              <w:t xml:space="preserve">0.5107 </w:t>
            </w:r>
          </w:p>
        </w:tc>
        <w:tc>
          <w:tcPr>
            <w:tcW w:w="1050" w:type="dxa"/>
            <w:tcBorders>
              <w:top w:val="single" w:color="000000" w:sz="4" w:space="0"/>
              <w:left w:val="single" w:color="000000" w:sz="4" w:space="0"/>
              <w:bottom w:val="single" w:color="000000" w:sz="4" w:space="0"/>
              <w:right w:val="single" w:color="000000" w:sz="4" w:space="0"/>
            </w:tcBorders>
            <w:vAlign w:val="center"/>
          </w:tcPr>
          <w:p w14:paraId="6DB2A5F2">
            <w:pPr>
              <w:jc w:val="center"/>
              <w:rPr>
                <w:rFonts w:eastAsia="等线"/>
                <w:color w:val="000000"/>
                <w:szCs w:val="21"/>
              </w:rPr>
            </w:pPr>
            <w:r>
              <w:rPr>
                <w:rFonts w:eastAsia="等线"/>
                <w:color w:val="000000"/>
                <w:szCs w:val="21"/>
              </w:rPr>
              <w:t xml:space="preserve">0.5469 </w:t>
            </w:r>
          </w:p>
        </w:tc>
      </w:tr>
      <w:tr w14:paraId="713DBA03">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72B2">
            <w:pPr>
              <w:jc w:val="center"/>
              <w:textAlignment w:val="center"/>
              <w:rPr>
                <w:color w:val="000000"/>
                <w:szCs w:val="21"/>
              </w:rPr>
            </w:pPr>
            <w:r>
              <w:rPr>
                <w:color w:val="000000"/>
                <w:kern w:val="0"/>
                <w:szCs w:val="21"/>
              </w:rPr>
              <w:t>使用年期</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6AFD">
            <w:pPr>
              <w:jc w:val="center"/>
              <w:textAlignment w:val="center"/>
              <w:rPr>
                <w:color w:val="000000"/>
                <w:szCs w:val="21"/>
              </w:rPr>
            </w:pPr>
            <w:r>
              <w:rPr>
                <w:color w:val="000000"/>
                <w:kern w:val="0"/>
                <w:szCs w:val="21"/>
              </w:rPr>
              <w:t>13</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9AA8">
            <w:pPr>
              <w:jc w:val="center"/>
              <w:textAlignment w:val="center"/>
              <w:rPr>
                <w:color w:val="000000"/>
                <w:szCs w:val="21"/>
              </w:rPr>
            </w:pPr>
            <w:r>
              <w:rPr>
                <w:color w:val="000000"/>
                <w:kern w:val="0"/>
                <w:szCs w:val="21"/>
              </w:rPr>
              <w:t>14</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C4BA">
            <w:pPr>
              <w:jc w:val="center"/>
              <w:textAlignment w:val="center"/>
              <w:rPr>
                <w:color w:val="000000"/>
                <w:szCs w:val="21"/>
              </w:rPr>
            </w:pPr>
            <w:r>
              <w:rPr>
                <w:color w:val="000000"/>
                <w:kern w:val="0"/>
                <w:szCs w:val="21"/>
              </w:rPr>
              <w:t>15</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0007">
            <w:pPr>
              <w:jc w:val="center"/>
              <w:textAlignment w:val="center"/>
              <w:rPr>
                <w:color w:val="000000"/>
                <w:szCs w:val="21"/>
              </w:rPr>
            </w:pPr>
            <w:r>
              <w:rPr>
                <w:color w:val="000000"/>
                <w:kern w:val="0"/>
                <w:szCs w:val="21"/>
              </w:rPr>
              <w:t>16</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CC0B">
            <w:pPr>
              <w:jc w:val="center"/>
              <w:textAlignment w:val="center"/>
              <w:rPr>
                <w:color w:val="000000"/>
                <w:szCs w:val="21"/>
              </w:rPr>
            </w:pPr>
            <w:r>
              <w:rPr>
                <w:color w:val="000000"/>
                <w:kern w:val="0"/>
                <w:szCs w:val="21"/>
              </w:rPr>
              <w:t>17</w:t>
            </w:r>
          </w:p>
        </w:tc>
        <w:tc>
          <w:tcPr>
            <w:tcW w:w="1050" w:type="dxa"/>
            <w:tcBorders>
              <w:top w:val="single" w:color="000000" w:sz="4" w:space="0"/>
              <w:left w:val="single" w:color="000000" w:sz="4" w:space="0"/>
              <w:bottom w:val="single" w:color="000000" w:sz="4" w:space="0"/>
              <w:right w:val="single" w:color="000000" w:sz="4" w:space="0"/>
            </w:tcBorders>
            <w:vAlign w:val="center"/>
          </w:tcPr>
          <w:p w14:paraId="20225B67">
            <w:pPr>
              <w:jc w:val="center"/>
              <w:textAlignment w:val="center"/>
              <w:rPr>
                <w:color w:val="000000"/>
                <w:kern w:val="0"/>
                <w:szCs w:val="21"/>
              </w:rPr>
            </w:pPr>
            <w:r>
              <w:rPr>
                <w:color w:val="000000"/>
                <w:kern w:val="0"/>
                <w:szCs w:val="21"/>
              </w:rPr>
              <w:t>18</w:t>
            </w:r>
          </w:p>
        </w:tc>
      </w:tr>
      <w:tr w14:paraId="1163C45E">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25F9">
            <w:pPr>
              <w:jc w:val="center"/>
              <w:textAlignment w:val="center"/>
              <w:rPr>
                <w:color w:val="000000"/>
                <w:szCs w:val="21"/>
              </w:rPr>
            </w:pPr>
            <w:r>
              <w:rPr>
                <w:color w:val="000000"/>
                <w:kern w:val="0"/>
                <w:szCs w:val="21"/>
              </w:rPr>
              <w:t>修正系数</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D7E2">
            <w:pPr>
              <w:jc w:val="center"/>
              <w:rPr>
                <w:rFonts w:eastAsia="等线"/>
                <w:color w:val="000000"/>
                <w:kern w:val="0"/>
                <w:szCs w:val="21"/>
              </w:rPr>
            </w:pPr>
            <w:r>
              <w:rPr>
                <w:rFonts w:eastAsia="等线"/>
                <w:color w:val="000000"/>
                <w:szCs w:val="21"/>
              </w:rPr>
              <w:t xml:space="preserve">0.5816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1F05">
            <w:pPr>
              <w:jc w:val="center"/>
              <w:rPr>
                <w:rFonts w:eastAsia="等线"/>
                <w:color w:val="000000"/>
                <w:szCs w:val="21"/>
              </w:rPr>
            </w:pPr>
            <w:r>
              <w:rPr>
                <w:rFonts w:eastAsia="等线"/>
                <w:color w:val="000000"/>
                <w:szCs w:val="21"/>
              </w:rPr>
              <w:t xml:space="preserve">0.6149 </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D7C9">
            <w:pPr>
              <w:jc w:val="center"/>
              <w:rPr>
                <w:rFonts w:eastAsia="等线"/>
                <w:color w:val="000000"/>
                <w:szCs w:val="21"/>
              </w:rPr>
            </w:pPr>
            <w:r>
              <w:rPr>
                <w:rFonts w:eastAsia="等线"/>
                <w:color w:val="000000"/>
                <w:szCs w:val="21"/>
              </w:rPr>
              <w:t xml:space="preserve">0.6469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14BE">
            <w:pPr>
              <w:jc w:val="center"/>
              <w:rPr>
                <w:rFonts w:eastAsia="等线"/>
                <w:color w:val="000000"/>
                <w:szCs w:val="21"/>
              </w:rPr>
            </w:pPr>
            <w:r>
              <w:rPr>
                <w:rFonts w:eastAsia="等线"/>
                <w:color w:val="000000"/>
                <w:szCs w:val="21"/>
              </w:rPr>
              <w:t xml:space="preserve">0.6777 </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51D9">
            <w:pPr>
              <w:jc w:val="center"/>
              <w:rPr>
                <w:rFonts w:eastAsia="等线"/>
                <w:color w:val="000000"/>
                <w:szCs w:val="21"/>
              </w:rPr>
            </w:pPr>
            <w:r>
              <w:rPr>
                <w:rFonts w:eastAsia="等线"/>
                <w:color w:val="000000"/>
                <w:szCs w:val="21"/>
              </w:rPr>
              <w:t xml:space="preserve">0.7072 </w:t>
            </w:r>
          </w:p>
        </w:tc>
        <w:tc>
          <w:tcPr>
            <w:tcW w:w="1050" w:type="dxa"/>
            <w:tcBorders>
              <w:top w:val="single" w:color="000000" w:sz="4" w:space="0"/>
              <w:left w:val="single" w:color="000000" w:sz="4" w:space="0"/>
              <w:bottom w:val="single" w:color="000000" w:sz="4" w:space="0"/>
              <w:right w:val="single" w:color="000000" w:sz="4" w:space="0"/>
            </w:tcBorders>
            <w:vAlign w:val="center"/>
          </w:tcPr>
          <w:p w14:paraId="2D58A2AC">
            <w:pPr>
              <w:jc w:val="center"/>
              <w:rPr>
                <w:rFonts w:eastAsia="等线"/>
                <w:color w:val="000000"/>
                <w:szCs w:val="21"/>
              </w:rPr>
            </w:pPr>
            <w:r>
              <w:rPr>
                <w:rFonts w:eastAsia="等线"/>
                <w:color w:val="000000"/>
                <w:szCs w:val="21"/>
              </w:rPr>
              <w:t xml:space="preserve">0.7356 </w:t>
            </w:r>
          </w:p>
        </w:tc>
      </w:tr>
      <w:tr w14:paraId="7DFD245C">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4B89">
            <w:pPr>
              <w:jc w:val="center"/>
              <w:textAlignment w:val="center"/>
              <w:rPr>
                <w:color w:val="000000"/>
                <w:szCs w:val="21"/>
              </w:rPr>
            </w:pPr>
            <w:r>
              <w:rPr>
                <w:color w:val="000000"/>
                <w:kern w:val="0"/>
                <w:szCs w:val="21"/>
              </w:rPr>
              <w:t>使用年期</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7613">
            <w:pPr>
              <w:jc w:val="center"/>
              <w:textAlignment w:val="center"/>
              <w:rPr>
                <w:color w:val="000000"/>
                <w:szCs w:val="21"/>
              </w:rPr>
            </w:pPr>
            <w:r>
              <w:rPr>
                <w:color w:val="000000"/>
                <w:kern w:val="0"/>
                <w:szCs w:val="21"/>
              </w:rPr>
              <w:t>19</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7FF5">
            <w:pPr>
              <w:jc w:val="center"/>
              <w:textAlignment w:val="center"/>
              <w:rPr>
                <w:color w:val="000000"/>
                <w:szCs w:val="21"/>
              </w:rPr>
            </w:pPr>
            <w:r>
              <w:rPr>
                <w:color w:val="000000"/>
                <w:kern w:val="0"/>
                <w:szCs w:val="21"/>
              </w:rPr>
              <w:t>20</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D53E">
            <w:pPr>
              <w:jc w:val="center"/>
              <w:textAlignment w:val="center"/>
              <w:rPr>
                <w:color w:val="000000"/>
                <w:szCs w:val="21"/>
              </w:rPr>
            </w:pPr>
            <w:r>
              <w:rPr>
                <w:color w:val="000000"/>
                <w:kern w:val="0"/>
                <w:szCs w:val="21"/>
              </w:rPr>
              <w:t>21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07E1">
            <w:pPr>
              <w:jc w:val="center"/>
              <w:textAlignment w:val="center"/>
              <w:rPr>
                <w:color w:val="000000"/>
                <w:szCs w:val="21"/>
              </w:rPr>
            </w:pPr>
            <w:r>
              <w:rPr>
                <w:color w:val="000000"/>
                <w:kern w:val="0"/>
                <w:szCs w:val="21"/>
              </w:rPr>
              <w:t>22</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3412">
            <w:pPr>
              <w:jc w:val="center"/>
              <w:textAlignment w:val="center"/>
              <w:rPr>
                <w:color w:val="000000"/>
                <w:szCs w:val="21"/>
              </w:rPr>
            </w:pPr>
            <w:r>
              <w:rPr>
                <w:color w:val="000000"/>
                <w:kern w:val="0"/>
                <w:szCs w:val="21"/>
              </w:rPr>
              <w:t>23</w:t>
            </w:r>
          </w:p>
        </w:tc>
        <w:tc>
          <w:tcPr>
            <w:tcW w:w="1050" w:type="dxa"/>
            <w:tcBorders>
              <w:top w:val="single" w:color="000000" w:sz="4" w:space="0"/>
              <w:left w:val="single" w:color="000000" w:sz="4" w:space="0"/>
              <w:bottom w:val="single" w:color="000000" w:sz="4" w:space="0"/>
              <w:right w:val="single" w:color="000000" w:sz="4" w:space="0"/>
            </w:tcBorders>
            <w:vAlign w:val="center"/>
          </w:tcPr>
          <w:p w14:paraId="0841D67C">
            <w:pPr>
              <w:jc w:val="center"/>
              <w:textAlignment w:val="center"/>
              <w:rPr>
                <w:color w:val="000000"/>
                <w:kern w:val="0"/>
                <w:szCs w:val="21"/>
              </w:rPr>
            </w:pPr>
            <w:r>
              <w:rPr>
                <w:color w:val="000000"/>
                <w:kern w:val="0"/>
                <w:szCs w:val="21"/>
              </w:rPr>
              <w:t>24</w:t>
            </w:r>
          </w:p>
        </w:tc>
      </w:tr>
      <w:tr w14:paraId="43EA9E6A">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020E">
            <w:pPr>
              <w:jc w:val="center"/>
              <w:textAlignment w:val="center"/>
              <w:rPr>
                <w:color w:val="000000"/>
                <w:szCs w:val="21"/>
              </w:rPr>
            </w:pPr>
            <w:r>
              <w:rPr>
                <w:color w:val="000000"/>
                <w:kern w:val="0"/>
                <w:szCs w:val="21"/>
              </w:rPr>
              <w:t>修正系数</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885B">
            <w:pPr>
              <w:jc w:val="center"/>
              <w:rPr>
                <w:rFonts w:eastAsia="等线"/>
                <w:color w:val="000000"/>
                <w:kern w:val="0"/>
                <w:szCs w:val="21"/>
              </w:rPr>
            </w:pPr>
            <w:r>
              <w:rPr>
                <w:rFonts w:eastAsia="等线"/>
                <w:color w:val="000000"/>
                <w:szCs w:val="21"/>
              </w:rPr>
              <w:t xml:space="preserve">0.7628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3996">
            <w:pPr>
              <w:jc w:val="center"/>
              <w:rPr>
                <w:rFonts w:eastAsia="等线"/>
                <w:color w:val="000000"/>
                <w:kern w:val="0"/>
                <w:szCs w:val="21"/>
              </w:rPr>
            </w:pPr>
            <w:r>
              <w:rPr>
                <w:rFonts w:eastAsia="等线"/>
                <w:color w:val="000000"/>
                <w:szCs w:val="21"/>
              </w:rPr>
              <w:t xml:space="preserve">0.7890 </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8E76">
            <w:pPr>
              <w:jc w:val="center"/>
              <w:rPr>
                <w:rFonts w:eastAsia="等线"/>
                <w:color w:val="000000"/>
                <w:szCs w:val="21"/>
              </w:rPr>
            </w:pPr>
            <w:r>
              <w:rPr>
                <w:rFonts w:eastAsia="等线"/>
                <w:color w:val="000000"/>
                <w:szCs w:val="21"/>
              </w:rPr>
              <w:t xml:space="preserve">0.8141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1995">
            <w:pPr>
              <w:jc w:val="center"/>
              <w:rPr>
                <w:rFonts w:eastAsia="等线"/>
                <w:color w:val="000000"/>
                <w:szCs w:val="21"/>
              </w:rPr>
            </w:pPr>
            <w:r>
              <w:rPr>
                <w:rFonts w:eastAsia="等线"/>
                <w:color w:val="000000"/>
                <w:szCs w:val="21"/>
              </w:rPr>
              <w:t xml:space="preserve">0.8383 </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FD1A">
            <w:pPr>
              <w:jc w:val="center"/>
              <w:rPr>
                <w:rFonts w:eastAsia="等线"/>
                <w:color w:val="000000"/>
                <w:szCs w:val="21"/>
              </w:rPr>
            </w:pPr>
            <w:r>
              <w:rPr>
                <w:rFonts w:eastAsia="等线"/>
                <w:color w:val="000000"/>
                <w:szCs w:val="21"/>
              </w:rPr>
              <w:t xml:space="preserve">0.8615 </w:t>
            </w:r>
          </w:p>
        </w:tc>
        <w:tc>
          <w:tcPr>
            <w:tcW w:w="1050" w:type="dxa"/>
            <w:tcBorders>
              <w:top w:val="single" w:color="000000" w:sz="4" w:space="0"/>
              <w:left w:val="single" w:color="000000" w:sz="4" w:space="0"/>
              <w:bottom w:val="single" w:color="000000" w:sz="4" w:space="0"/>
              <w:right w:val="single" w:color="000000" w:sz="4" w:space="0"/>
            </w:tcBorders>
            <w:vAlign w:val="center"/>
          </w:tcPr>
          <w:p w14:paraId="20E79409">
            <w:pPr>
              <w:jc w:val="center"/>
              <w:rPr>
                <w:rFonts w:eastAsia="等线"/>
                <w:color w:val="000000"/>
                <w:szCs w:val="21"/>
              </w:rPr>
            </w:pPr>
            <w:r>
              <w:rPr>
                <w:rFonts w:eastAsia="等线"/>
                <w:color w:val="000000"/>
                <w:szCs w:val="21"/>
              </w:rPr>
              <w:t xml:space="preserve">0.8837 </w:t>
            </w:r>
          </w:p>
        </w:tc>
      </w:tr>
      <w:tr w14:paraId="6917CC49">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5670">
            <w:pPr>
              <w:jc w:val="center"/>
              <w:textAlignment w:val="center"/>
              <w:rPr>
                <w:color w:val="000000"/>
                <w:szCs w:val="21"/>
              </w:rPr>
            </w:pPr>
            <w:r>
              <w:rPr>
                <w:color w:val="000000"/>
                <w:kern w:val="0"/>
                <w:szCs w:val="21"/>
              </w:rPr>
              <w:t>使用年期</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059F">
            <w:pPr>
              <w:jc w:val="center"/>
              <w:textAlignment w:val="center"/>
              <w:rPr>
                <w:color w:val="000000"/>
                <w:szCs w:val="21"/>
              </w:rPr>
            </w:pPr>
            <w:r>
              <w:rPr>
                <w:color w:val="000000"/>
                <w:kern w:val="0"/>
                <w:szCs w:val="21"/>
              </w:rPr>
              <w:t>25</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3F45">
            <w:pPr>
              <w:jc w:val="center"/>
              <w:textAlignment w:val="center"/>
              <w:rPr>
                <w:color w:val="000000"/>
                <w:szCs w:val="21"/>
              </w:rPr>
            </w:pPr>
            <w:r>
              <w:rPr>
                <w:color w:val="000000"/>
                <w:kern w:val="0"/>
                <w:szCs w:val="21"/>
              </w:rPr>
              <w:t>26</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628A">
            <w:pPr>
              <w:jc w:val="center"/>
              <w:textAlignment w:val="center"/>
              <w:rPr>
                <w:color w:val="000000"/>
                <w:szCs w:val="21"/>
              </w:rPr>
            </w:pPr>
            <w:r>
              <w:rPr>
                <w:color w:val="000000"/>
                <w:kern w:val="0"/>
                <w:szCs w:val="21"/>
              </w:rPr>
              <w:t>27</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7716">
            <w:pPr>
              <w:jc w:val="center"/>
              <w:textAlignment w:val="center"/>
              <w:rPr>
                <w:color w:val="000000"/>
                <w:szCs w:val="21"/>
              </w:rPr>
            </w:pPr>
            <w:r>
              <w:rPr>
                <w:color w:val="000000"/>
                <w:kern w:val="0"/>
                <w:szCs w:val="21"/>
              </w:rPr>
              <w:t>28</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D532">
            <w:pPr>
              <w:jc w:val="center"/>
              <w:textAlignment w:val="center"/>
              <w:rPr>
                <w:color w:val="000000"/>
                <w:szCs w:val="21"/>
              </w:rPr>
            </w:pPr>
            <w:r>
              <w:rPr>
                <w:color w:val="000000"/>
                <w:kern w:val="0"/>
                <w:szCs w:val="21"/>
              </w:rPr>
              <w:t>29</w:t>
            </w:r>
          </w:p>
        </w:tc>
        <w:tc>
          <w:tcPr>
            <w:tcW w:w="1050" w:type="dxa"/>
            <w:tcBorders>
              <w:top w:val="single" w:color="000000" w:sz="4" w:space="0"/>
              <w:left w:val="single" w:color="000000" w:sz="4" w:space="0"/>
              <w:bottom w:val="single" w:color="000000" w:sz="4" w:space="0"/>
              <w:right w:val="single" w:color="000000" w:sz="4" w:space="0"/>
            </w:tcBorders>
            <w:vAlign w:val="center"/>
          </w:tcPr>
          <w:p w14:paraId="5338B198">
            <w:pPr>
              <w:jc w:val="center"/>
              <w:textAlignment w:val="center"/>
              <w:rPr>
                <w:color w:val="000000"/>
                <w:kern w:val="0"/>
                <w:szCs w:val="21"/>
              </w:rPr>
            </w:pPr>
            <w:r>
              <w:rPr>
                <w:color w:val="000000"/>
                <w:kern w:val="0"/>
                <w:szCs w:val="21"/>
              </w:rPr>
              <w:t>30</w:t>
            </w:r>
          </w:p>
        </w:tc>
      </w:tr>
      <w:tr w14:paraId="78A4D17E">
        <w:tblPrEx>
          <w:tblCellMar>
            <w:top w:w="15" w:type="dxa"/>
            <w:left w:w="15" w:type="dxa"/>
            <w:bottom w:w="15" w:type="dxa"/>
            <w:right w:w="15" w:type="dxa"/>
          </w:tblCellMar>
        </w:tblPrEx>
        <w:trPr>
          <w:trHeight w:val="286"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931A">
            <w:pPr>
              <w:jc w:val="center"/>
              <w:textAlignment w:val="center"/>
              <w:rPr>
                <w:color w:val="000000"/>
                <w:szCs w:val="21"/>
              </w:rPr>
            </w:pPr>
            <w:r>
              <w:rPr>
                <w:color w:val="000000"/>
                <w:kern w:val="0"/>
                <w:szCs w:val="21"/>
              </w:rPr>
              <w:t>修正系数</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293D">
            <w:pPr>
              <w:jc w:val="center"/>
              <w:rPr>
                <w:rFonts w:eastAsia="等线"/>
                <w:color w:val="000000"/>
                <w:kern w:val="0"/>
                <w:szCs w:val="21"/>
              </w:rPr>
            </w:pPr>
            <w:r>
              <w:rPr>
                <w:rFonts w:eastAsia="等线"/>
                <w:color w:val="000000"/>
                <w:szCs w:val="21"/>
              </w:rPr>
              <w:t xml:space="preserve">0.9051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74F5">
            <w:pPr>
              <w:jc w:val="center"/>
              <w:rPr>
                <w:rFonts w:eastAsia="等线"/>
                <w:color w:val="000000"/>
                <w:szCs w:val="21"/>
              </w:rPr>
            </w:pPr>
            <w:r>
              <w:rPr>
                <w:rFonts w:eastAsia="等线"/>
                <w:color w:val="000000"/>
                <w:szCs w:val="21"/>
              </w:rPr>
              <w:t xml:space="preserve">0.9257 </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631D">
            <w:pPr>
              <w:jc w:val="center"/>
              <w:rPr>
                <w:rFonts w:eastAsia="等线"/>
                <w:color w:val="000000"/>
                <w:szCs w:val="21"/>
              </w:rPr>
            </w:pPr>
            <w:r>
              <w:rPr>
                <w:rFonts w:eastAsia="等线"/>
                <w:color w:val="000000"/>
                <w:szCs w:val="21"/>
              </w:rPr>
              <w:t xml:space="preserve">0.9454 </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9C34">
            <w:pPr>
              <w:jc w:val="center"/>
              <w:rPr>
                <w:rFonts w:eastAsia="等线"/>
                <w:color w:val="000000"/>
                <w:szCs w:val="21"/>
              </w:rPr>
            </w:pPr>
            <w:r>
              <w:rPr>
                <w:rFonts w:eastAsia="等线"/>
                <w:color w:val="000000"/>
                <w:szCs w:val="21"/>
              </w:rPr>
              <w:t xml:space="preserve">0.9643 </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5644">
            <w:pPr>
              <w:jc w:val="center"/>
              <w:rPr>
                <w:rFonts w:eastAsia="等线"/>
                <w:color w:val="000000"/>
                <w:kern w:val="0"/>
                <w:szCs w:val="21"/>
              </w:rPr>
            </w:pPr>
            <w:r>
              <w:rPr>
                <w:rFonts w:eastAsia="等线"/>
                <w:color w:val="000000"/>
                <w:szCs w:val="21"/>
              </w:rPr>
              <w:t xml:space="preserve">0.9825 </w:t>
            </w:r>
          </w:p>
        </w:tc>
        <w:tc>
          <w:tcPr>
            <w:tcW w:w="1050" w:type="dxa"/>
            <w:tcBorders>
              <w:top w:val="single" w:color="000000" w:sz="4" w:space="0"/>
              <w:left w:val="single" w:color="000000" w:sz="4" w:space="0"/>
              <w:bottom w:val="single" w:color="000000" w:sz="4" w:space="0"/>
              <w:right w:val="single" w:color="000000" w:sz="4" w:space="0"/>
            </w:tcBorders>
            <w:vAlign w:val="center"/>
          </w:tcPr>
          <w:p w14:paraId="67A1F0F1">
            <w:pPr>
              <w:jc w:val="center"/>
              <w:rPr>
                <w:rFonts w:eastAsia="等线"/>
                <w:color w:val="000000"/>
                <w:szCs w:val="21"/>
              </w:rPr>
            </w:pPr>
            <w:r>
              <w:rPr>
                <w:rFonts w:eastAsia="等线"/>
                <w:color w:val="000000"/>
                <w:szCs w:val="21"/>
              </w:rPr>
              <w:t xml:space="preserve">1.0000 </w:t>
            </w:r>
          </w:p>
        </w:tc>
      </w:tr>
    </w:tbl>
    <w:p w14:paraId="065734FA">
      <w:pPr>
        <w:pStyle w:val="180"/>
        <w:ind w:firstLine="480"/>
      </w:pPr>
      <w:r>
        <w:rPr>
          <w:rFonts w:hint="eastAsia"/>
        </w:rPr>
        <w:t>（3）</w:t>
      </w:r>
      <w:r>
        <w:t>确定待估国有农用地价格</w:t>
      </w:r>
    </w:p>
    <w:p w14:paraId="3F66A00E">
      <w:pPr>
        <w:spacing w:line="500" w:lineRule="exact"/>
        <w:ind w:firstLine="482"/>
        <w:rPr>
          <w:sz w:val="24"/>
        </w:rPr>
      </w:pPr>
      <w:r>
        <w:rPr>
          <w:sz w:val="24"/>
        </w:rPr>
        <w:t>根据收集到的样点资料，经过一系列计算与修正，得到市场比较法的国有农用地价格</w:t>
      </w:r>
      <w:r>
        <w:rPr>
          <w:rFonts w:hint="eastAsia"/>
          <w:sz w:val="24"/>
        </w:rPr>
        <w:t>，</w:t>
      </w:r>
      <w:r>
        <w:rPr>
          <w:sz w:val="24"/>
        </w:rPr>
        <w:t>并将此价格与征地补偿标准、周边城市国有农用地价格标准、近期流转价格进行比较，确定出更为合理的鄂州市国有农用地价格标准：</w:t>
      </w:r>
    </w:p>
    <w:p w14:paraId="5AF056C8">
      <w:pPr>
        <w:spacing w:line="500" w:lineRule="exact"/>
        <w:jc w:val="center"/>
        <w:rPr>
          <w:b/>
          <w:szCs w:val="21"/>
        </w:rPr>
      </w:pPr>
      <w:r>
        <w:rPr>
          <w:b/>
          <w:szCs w:val="21"/>
        </w:rPr>
        <w:t>表</w:t>
      </w:r>
      <w:r>
        <w:rPr>
          <w:rFonts w:hint="eastAsia"/>
          <w:b/>
          <w:szCs w:val="21"/>
        </w:rPr>
        <w:t>4-11</w:t>
      </w:r>
      <w:r>
        <w:rPr>
          <w:b/>
          <w:szCs w:val="21"/>
        </w:rPr>
        <w:t>鄂州市国有农用地各级别土地价格（市场比较法）</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702"/>
        <w:gridCol w:w="2411"/>
        <w:gridCol w:w="2203"/>
      </w:tblGrid>
      <w:tr w14:paraId="7CF3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2" w:type="dxa"/>
            <w:gridSpan w:val="2"/>
            <w:vAlign w:val="center"/>
          </w:tcPr>
          <w:p w14:paraId="5E950E70">
            <w:pPr>
              <w:jc w:val="center"/>
            </w:pPr>
            <w:r>
              <w:t>级别</w:t>
            </w:r>
          </w:p>
        </w:tc>
        <w:tc>
          <w:tcPr>
            <w:tcW w:w="2411" w:type="dxa"/>
            <w:vAlign w:val="center"/>
          </w:tcPr>
          <w:p w14:paraId="6BC6B7C8">
            <w:pPr>
              <w:jc w:val="center"/>
            </w:pPr>
            <w:r>
              <w:rPr>
                <w:rFonts w:hint="eastAsia" w:ascii="宋体" w:hAnsi="宋体" w:cs="宋体"/>
              </w:rPr>
              <w:t>Ⅰ</w:t>
            </w:r>
            <w:r>
              <w:t>级</w:t>
            </w:r>
          </w:p>
        </w:tc>
        <w:tc>
          <w:tcPr>
            <w:tcW w:w="2203" w:type="dxa"/>
            <w:vAlign w:val="center"/>
          </w:tcPr>
          <w:p w14:paraId="26E65999">
            <w:pPr>
              <w:jc w:val="center"/>
            </w:pPr>
            <w:r>
              <w:rPr>
                <w:rFonts w:hint="eastAsia" w:ascii="宋体" w:hAnsi="宋体" w:cs="宋体"/>
              </w:rPr>
              <w:t>Ⅱ</w:t>
            </w:r>
            <w:r>
              <w:t>级</w:t>
            </w:r>
          </w:p>
        </w:tc>
      </w:tr>
      <w:tr w14:paraId="694D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Merge w:val="restart"/>
            <w:vAlign w:val="center"/>
          </w:tcPr>
          <w:p w14:paraId="54DFE494">
            <w:pPr>
              <w:jc w:val="center"/>
            </w:pPr>
            <w:r>
              <w:t>总地价</w:t>
            </w:r>
            <w:r>
              <w:rPr>
                <w:rFonts w:hint="eastAsia"/>
              </w:rPr>
              <w:t>（</w:t>
            </w:r>
            <w:r>
              <w:t>元/亩</w:t>
            </w:r>
            <w:r>
              <w:rPr>
                <w:rFonts w:hint="eastAsia"/>
              </w:rPr>
              <w:t>）</w:t>
            </w:r>
          </w:p>
        </w:tc>
        <w:tc>
          <w:tcPr>
            <w:tcW w:w="1702" w:type="dxa"/>
            <w:vAlign w:val="center"/>
          </w:tcPr>
          <w:p w14:paraId="55C21D1C">
            <w:pPr>
              <w:jc w:val="center"/>
            </w:pPr>
            <w:r>
              <w:t>最大值</w:t>
            </w:r>
          </w:p>
        </w:tc>
        <w:tc>
          <w:tcPr>
            <w:tcW w:w="2411" w:type="dxa"/>
          </w:tcPr>
          <w:p w14:paraId="2CE0273A">
            <w:pPr>
              <w:jc w:val="center"/>
            </w:pPr>
            <w:r>
              <w:t xml:space="preserve">26144 </w:t>
            </w:r>
          </w:p>
        </w:tc>
        <w:tc>
          <w:tcPr>
            <w:tcW w:w="2203" w:type="dxa"/>
          </w:tcPr>
          <w:p w14:paraId="09712AA8">
            <w:pPr>
              <w:jc w:val="center"/>
            </w:pPr>
            <w:r>
              <w:t xml:space="preserve">19599 </w:t>
            </w:r>
          </w:p>
        </w:tc>
      </w:tr>
      <w:tr w14:paraId="2655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Merge w:val="continue"/>
            <w:vAlign w:val="center"/>
          </w:tcPr>
          <w:p w14:paraId="02D4562D">
            <w:pPr>
              <w:jc w:val="center"/>
            </w:pPr>
          </w:p>
        </w:tc>
        <w:tc>
          <w:tcPr>
            <w:tcW w:w="1702" w:type="dxa"/>
            <w:vAlign w:val="center"/>
          </w:tcPr>
          <w:p w14:paraId="631BF240">
            <w:pPr>
              <w:jc w:val="center"/>
            </w:pPr>
            <w:r>
              <w:t>最小值</w:t>
            </w:r>
          </w:p>
        </w:tc>
        <w:tc>
          <w:tcPr>
            <w:tcW w:w="2411" w:type="dxa"/>
          </w:tcPr>
          <w:p w14:paraId="14DD4AA6">
            <w:pPr>
              <w:jc w:val="center"/>
            </w:pPr>
            <w:r>
              <w:t xml:space="preserve">14895 </w:t>
            </w:r>
          </w:p>
        </w:tc>
        <w:tc>
          <w:tcPr>
            <w:tcW w:w="2203" w:type="dxa"/>
          </w:tcPr>
          <w:p w14:paraId="2154387D">
            <w:pPr>
              <w:jc w:val="center"/>
            </w:pPr>
            <w:r>
              <w:t xml:space="preserve">9646 </w:t>
            </w:r>
          </w:p>
        </w:tc>
      </w:tr>
      <w:tr w14:paraId="1B75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Merge w:val="continue"/>
            <w:vAlign w:val="center"/>
          </w:tcPr>
          <w:p w14:paraId="2284913D">
            <w:pPr>
              <w:jc w:val="center"/>
            </w:pPr>
          </w:p>
        </w:tc>
        <w:tc>
          <w:tcPr>
            <w:tcW w:w="1702" w:type="dxa"/>
            <w:vAlign w:val="center"/>
          </w:tcPr>
          <w:p w14:paraId="30160D30">
            <w:pPr>
              <w:jc w:val="center"/>
            </w:pPr>
            <w:r>
              <w:t>均值</w:t>
            </w:r>
          </w:p>
        </w:tc>
        <w:tc>
          <w:tcPr>
            <w:tcW w:w="2411" w:type="dxa"/>
          </w:tcPr>
          <w:p w14:paraId="2C047FD6">
            <w:pPr>
              <w:jc w:val="center"/>
            </w:pPr>
            <w:r>
              <w:t xml:space="preserve">20792 </w:t>
            </w:r>
          </w:p>
        </w:tc>
        <w:tc>
          <w:tcPr>
            <w:tcW w:w="2203" w:type="dxa"/>
          </w:tcPr>
          <w:p w14:paraId="0872161D">
            <w:pPr>
              <w:jc w:val="center"/>
            </w:pPr>
            <w:r>
              <w:t xml:space="preserve">15339 </w:t>
            </w:r>
          </w:p>
        </w:tc>
      </w:tr>
    </w:tbl>
    <w:p w14:paraId="58BA8552">
      <w:pPr>
        <w:pStyle w:val="4"/>
        <w:widowControl w:val="0"/>
        <w:tabs>
          <w:tab w:val="left" w:pos="720"/>
        </w:tabs>
        <w:spacing w:before="120" w:after="120" w:line="500" w:lineRule="exact"/>
        <w:ind w:left="826" w:hanging="826"/>
        <w:jc w:val="both"/>
        <w:rPr>
          <w:rFonts w:ascii="宋体" w:hAnsi="宋体"/>
          <w:sz w:val="24"/>
          <w:szCs w:val="24"/>
        </w:rPr>
      </w:pPr>
      <w:bookmarkStart w:id="212" w:name="_Toc47384640"/>
      <w:bookmarkStart w:id="213" w:name="_Toc535399951"/>
      <w:r>
        <w:rPr>
          <w:rFonts w:hint="eastAsia" w:ascii="宋体" w:hAnsi="宋体"/>
          <w:sz w:val="24"/>
          <w:szCs w:val="24"/>
        </w:rPr>
        <w:t>4.3</w:t>
      </w:r>
      <w:r>
        <w:rPr>
          <w:rFonts w:ascii="宋体" w:hAnsi="宋体"/>
          <w:sz w:val="24"/>
          <w:szCs w:val="24"/>
        </w:rPr>
        <w:t>.3 国有农用地基准地价价格确定</w:t>
      </w:r>
      <w:bookmarkEnd w:id="212"/>
      <w:bookmarkEnd w:id="213"/>
    </w:p>
    <w:p w14:paraId="1391D3A1">
      <w:pPr>
        <w:spacing w:line="500" w:lineRule="exact"/>
        <w:ind w:firstLine="482"/>
        <w:rPr>
          <w:sz w:val="24"/>
        </w:rPr>
      </w:pPr>
      <w:r>
        <w:rPr>
          <w:rFonts w:hint="eastAsia"/>
          <w:sz w:val="24"/>
        </w:rPr>
        <w:t>由于市场比较法在选取可比案例时存在较强的主观判断性、随意性，可比案例的区域与个别因素修正过于主观化。而在运用收益还原法时，只要准确求取出土地的纯收益和确定还原率就能保证估价结果的准确性，</w:t>
      </w:r>
      <w:r>
        <w:rPr>
          <w:sz w:val="24"/>
        </w:rPr>
        <w:t>结合当</w:t>
      </w:r>
      <w:r>
        <w:rPr>
          <w:rFonts w:hint="eastAsia"/>
          <w:sz w:val="24"/>
        </w:rPr>
        <w:t>地</w:t>
      </w:r>
      <w:r>
        <w:rPr>
          <w:sz w:val="24"/>
        </w:rPr>
        <w:t>实际情况以及各部门的意见，</w:t>
      </w:r>
      <w:r>
        <w:rPr>
          <w:rFonts w:hint="eastAsia"/>
          <w:sz w:val="24"/>
        </w:rPr>
        <w:t>收益还原法相对于市场比较法在此次评估中更具有客观性，因此</w:t>
      </w:r>
      <w:r>
        <w:rPr>
          <w:sz w:val="24"/>
        </w:rPr>
        <w:t>对收益还原法和市场比较法确定的鄂州市国有农用地价格进行加权，确定年收益还原法、市场比较法的权重分别为0.6和0.4，最终确定鄂州市国有农用地基准地价如下表：</w:t>
      </w:r>
    </w:p>
    <w:p w14:paraId="51651AB6">
      <w:pPr>
        <w:spacing w:line="500" w:lineRule="exact"/>
        <w:jc w:val="center"/>
        <w:rPr>
          <w:sz w:val="24"/>
        </w:rPr>
      </w:pPr>
      <w:r>
        <w:rPr>
          <w:b/>
          <w:szCs w:val="21"/>
        </w:rPr>
        <w:t>表</w:t>
      </w:r>
      <w:r>
        <w:rPr>
          <w:rFonts w:hint="eastAsia"/>
          <w:b/>
          <w:szCs w:val="21"/>
        </w:rPr>
        <w:t>4-1</w:t>
      </w:r>
      <w:r>
        <w:rPr>
          <w:b/>
          <w:szCs w:val="21"/>
        </w:rPr>
        <w:t>2 鄂州市国有农用地各级别土地价格</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1"/>
        <w:gridCol w:w="2651"/>
        <w:gridCol w:w="2464"/>
      </w:tblGrid>
      <w:tr w14:paraId="291E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1" w:type="dxa"/>
            <w:vAlign w:val="center"/>
          </w:tcPr>
          <w:p w14:paraId="5FB6ED4E">
            <w:pPr>
              <w:jc w:val="center"/>
            </w:pPr>
            <w:r>
              <w:t>级别</w:t>
            </w:r>
          </w:p>
        </w:tc>
        <w:tc>
          <w:tcPr>
            <w:tcW w:w="2651" w:type="dxa"/>
            <w:vAlign w:val="center"/>
          </w:tcPr>
          <w:p w14:paraId="012D166F">
            <w:pPr>
              <w:jc w:val="center"/>
            </w:pPr>
            <w:r>
              <w:rPr>
                <w:rFonts w:hint="eastAsia" w:ascii="宋体" w:hAnsi="宋体" w:cs="宋体"/>
              </w:rPr>
              <w:t>Ⅰ</w:t>
            </w:r>
            <w:r>
              <w:t>级</w:t>
            </w:r>
          </w:p>
        </w:tc>
        <w:tc>
          <w:tcPr>
            <w:tcW w:w="2464" w:type="dxa"/>
            <w:vAlign w:val="center"/>
          </w:tcPr>
          <w:p w14:paraId="309C1702">
            <w:pPr>
              <w:jc w:val="center"/>
            </w:pPr>
            <w:r>
              <w:rPr>
                <w:rFonts w:hint="eastAsia" w:ascii="宋体" w:hAnsi="宋体" w:cs="宋体"/>
              </w:rPr>
              <w:t>Ⅱ</w:t>
            </w:r>
            <w:r>
              <w:t>级</w:t>
            </w:r>
          </w:p>
        </w:tc>
      </w:tr>
      <w:tr w14:paraId="3DAA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1" w:type="dxa"/>
            <w:vAlign w:val="center"/>
          </w:tcPr>
          <w:p w14:paraId="67241E45">
            <w:pPr>
              <w:jc w:val="center"/>
            </w:pPr>
            <w:r>
              <w:t>国有农用地价格（元/亩）</w:t>
            </w:r>
          </w:p>
        </w:tc>
        <w:tc>
          <w:tcPr>
            <w:tcW w:w="2651" w:type="dxa"/>
          </w:tcPr>
          <w:p w14:paraId="22BB19E4">
            <w:pPr>
              <w:jc w:val="center"/>
            </w:pPr>
            <w:r>
              <w:t xml:space="preserve">29863 </w:t>
            </w:r>
          </w:p>
        </w:tc>
        <w:tc>
          <w:tcPr>
            <w:tcW w:w="2464" w:type="dxa"/>
          </w:tcPr>
          <w:p w14:paraId="391BFEAD">
            <w:pPr>
              <w:jc w:val="center"/>
            </w:pPr>
            <w:r>
              <w:t>23345</w:t>
            </w:r>
          </w:p>
        </w:tc>
      </w:tr>
    </w:tbl>
    <w:p w14:paraId="1AD24824">
      <w:pPr>
        <w:pStyle w:val="4"/>
        <w:widowControl w:val="0"/>
        <w:tabs>
          <w:tab w:val="left" w:pos="720"/>
        </w:tabs>
        <w:spacing w:before="120" w:after="120" w:line="500" w:lineRule="exact"/>
        <w:ind w:left="826" w:hanging="826"/>
        <w:jc w:val="both"/>
        <w:rPr>
          <w:rFonts w:ascii="宋体" w:hAnsi="宋体"/>
          <w:sz w:val="24"/>
          <w:szCs w:val="24"/>
        </w:rPr>
      </w:pPr>
      <w:bookmarkStart w:id="214" w:name="_Toc534983061"/>
      <w:bookmarkStart w:id="215" w:name="_Toc47384641"/>
      <w:bookmarkStart w:id="216" w:name="_Toc534833382"/>
      <w:bookmarkStart w:id="217" w:name="_Toc535399952"/>
      <w:r>
        <w:rPr>
          <w:rFonts w:hint="eastAsia" w:ascii="宋体" w:hAnsi="宋体"/>
          <w:sz w:val="24"/>
          <w:szCs w:val="24"/>
        </w:rPr>
        <w:t>4.3</w:t>
      </w:r>
      <w:r>
        <w:rPr>
          <w:rFonts w:ascii="宋体" w:hAnsi="宋体"/>
          <w:sz w:val="24"/>
          <w:szCs w:val="24"/>
        </w:rPr>
        <w:t>.4 地价检验与有效样点的确定：</w:t>
      </w:r>
      <w:bookmarkEnd w:id="214"/>
      <w:bookmarkEnd w:id="215"/>
      <w:bookmarkEnd w:id="216"/>
      <w:bookmarkEnd w:id="217"/>
    </w:p>
    <w:p w14:paraId="39718D24">
      <w:pPr>
        <w:spacing w:line="500" w:lineRule="exact"/>
        <w:ind w:firstLine="482"/>
        <w:rPr>
          <w:kern w:val="28"/>
          <w:sz w:val="24"/>
        </w:rPr>
      </w:pPr>
      <w:r>
        <w:rPr>
          <w:kern w:val="28"/>
          <w:sz w:val="24"/>
        </w:rPr>
        <w:t>根据《农用地估价规程》（GB/T 28406-2012）的要求，在地价测算前除了采取一定措施保证样本数据的完整性、可靠性以外，还必须对收集到的样本数据进行数理统计检验，剔除可能影响地价测算结果的异常值。</w:t>
      </w:r>
    </w:p>
    <w:p w14:paraId="40715643">
      <w:pPr>
        <w:spacing w:line="500" w:lineRule="exact"/>
        <w:ind w:firstLine="482"/>
        <w:rPr>
          <w:kern w:val="28"/>
          <w:sz w:val="24"/>
        </w:rPr>
      </w:pPr>
      <w:r>
        <w:rPr>
          <w:kern w:val="28"/>
          <w:sz w:val="24"/>
        </w:rPr>
        <w:t>根据规程的要求，结合鄂州市实际情况，采用“卡方检验法”和“均值——方差法”对样本进行检验。其步骤为：</w:t>
      </w:r>
    </w:p>
    <w:p w14:paraId="519FD199">
      <w:pPr>
        <w:spacing w:line="500" w:lineRule="exact"/>
        <w:ind w:firstLine="482"/>
        <w:rPr>
          <w:kern w:val="28"/>
          <w:sz w:val="24"/>
        </w:rPr>
      </w:pPr>
      <w:r>
        <w:rPr>
          <w:kern w:val="28"/>
          <w:sz w:val="24"/>
        </w:rPr>
        <w:t>（1）首先采用“卡方检验法”对所有样本的分布类型进行总体一致性检验，检验结果发现所有样本呈非正态分布。</w:t>
      </w:r>
    </w:p>
    <w:p w14:paraId="4086CDB5">
      <w:pPr>
        <w:spacing w:line="500" w:lineRule="exact"/>
        <w:ind w:firstLine="482"/>
        <w:rPr>
          <w:kern w:val="28"/>
          <w:sz w:val="24"/>
        </w:rPr>
      </w:pPr>
      <w:r>
        <w:rPr>
          <w:kern w:val="28"/>
          <w:sz w:val="24"/>
        </w:rPr>
        <w:t>（2）根据第1步检验结果，采用“均值—方差法”对呈非正态分布的样本进行异常值剔除。分别将同一土地级别和同一路段的租赁样点，按单位面积样点地价，由小到大顺序排列，即：X</w:t>
      </w:r>
      <w:r>
        <w:rPr>
          <w:kern w:val="28"/>
          <w:sz w:val="24"/>
          <w:vertAlign w:val="subscript"/>
        </w:rPr>
        <w:t>1</w:t>
      </w:r>
      <w:r>
        <w:rPr>
          <w:kern w:val="28"/>
          <w:sz w:val="24"/>
        </w:rPr>
        <w:t>≤X</w:t>
      </w:r>
      <w:r>
        <w:rPr>
          <w:kern w:val="28"/>
          <w:sz w:val="24"/>
          <w:vertAlign w:val="subscript"/>
        </w:rPr>
        <w:t>2</w:t>
      </w:r>
      <w:r>
        <w:rPr>
          <w:kern w:val="28"/>
          <w:sz w:val="24"/>
        </w:rPr>
        <w:t>……≤Xn；</w:t>
      </w:r>
    </w:p>
    <w:p w14:paraId="6B5155E1">
      <w:pPr>
        <w:spacing w:line="500" w:lineRule="exact"/>
        <w:ind w:firstLine="480" w:firstLineChars="200"/>
        <w:rPr>
          <w:kern w:val="28"/>
          <w:sz w:val="24"/>
        </w:rPr>
      </w:pPr>
      <w:r>
        <w:rPr>
          <w:kern w:val="28"/>
          <w:sz w:val="24"/>
        </w:rPr>
        <w:t>（3）分别计算各土地级别和各路段样点地价的平均值（X）和标准差（S），公式如：</w:t>
      </w:r>
    </w:p>
    <w:p w14:paraId="5C142418">
      <w:pPr>
        <w:adjustRightInd w:val="0"/>
        <w:snapToGrid w:val="0"/>
        <w:spacing w:line="300" w:lineRule="auto"/>
        <w:ind w:firstLine="480" w:firstLineChars="200"/>
        <w:jc w:val="center"/>
        <w:rPr>
          <w:kern w:val="28"/>
          <w:sz w:val="24"/>
        </w:rPr>
      </w:pPr>
      <w:r>
        <w:rPr>
          <w:kern w:val="28"/>
          <w:sz w:val="24"/>
        </w:rPr>
        <w:object>
          <v:shape id="_x0000_i1054" o:spt="75" type="#_x0000_t75" style="height:34.5pt;width:63.75pt;" o:ole="t" filled="f" o:preferrelative="t" stroked="f" coordsize="21600,21600">
            <v:path/>
            <v:fill on="f" focussize="0,0"/>
            <v:stroke on="f" joinstyle="miter"/>
            <v:imagedata r:id="rId81" o:title=""/>
            <o:lock v:ext="edit" aspectratio="t"/>
            <w10:wrap type="none"/>
            <w10:anchorlock/>
          </v:shape>
          <o:OLEObject Type="Embed" ProgID="Equation.3" ShapeID="_x0000_i1054" DrawAspect="Content" ObjectID="_1468075754" r:id="rId80">
            <o:LockedField>false</o:LockedField>
          </o:OLEObject>
        </w:object>
      </w:r>
    </w:p>
    <w:p w14:paraId="09582401">
      <w:pPr>
        <w:adjustRightInd w:val="0"/>
        <w:snapToGrid w:val="0"/>
        <w:spacing w:line="300" w:lineRule="auto"/>
        <w:ind w:firstLine="480" w:firstLineChars="200"/>
        <w:jc w:val="center"/>
        <w:rPr>
          <w:kern w:val="28"/>
          <w:sz w:val="24"/>
        </w:rPr>
      </w:pPr>
      <w:r>
        <w:rPr>
          <w:kern w:val="28"/>
          <w:sz w:val="24"/>
        </w:rPr>
        <w:object>
          <v:shape id="_x0000_i1055" o:spt="75" type="#_x0000_t75" style="height:37.5pt;width:125.25pt;" o:ole="t" filled="f" o:preferrelative="t" stroked="f" coordsize="21600,21600">
            <v:path/>
            <v:fill on="f" focussize="0,0"/>
            <v:stroke on="f" joinstyle="miter"/>
            <v:imagedata r:id="rId83" o:title=""/>
            <o:lock v:ext="edit" aspectratio="t"/>
            <w10:wrap type="none"/>
            <w10:anchorlock/>
          </v:shape>
          <o:OLEObject Type="Embed" ProgID="Equation.3" ShapeID="_x0000_i1055" DrawAspect="Content" ObjectID="_1468075755" r:id="rId82">
            <o:LockedField>false</o:LockedField>
          </o:OLEObject>
        </w:object>
      </w:r>
    </w:p>
    <w:p w14:paraId="13BFDC9A">
      <w:pPr>
        <w:spacing w:line="500" w:lineRule="exact"/>
        <w:ind w:firstLine="480" w:firstLineChars="200"/>
        <w:rPr>
          <w:kern w:val="28"/>
          <w:sz w:val="24"/>
        </w:rPr>
      </w:pPr>
      <w:r>
        <w:rPr>
          <w:kern w:val="28"/>
          <w:sz w:val="24"/>
        </w:rPr>
        <w:t>式中：</w:t>
      </w:r>
      <w:r>
        <w:rPr>
          <w:kern w:val="28"/>
          <w:sz w:val="24"/>
        </w:rPr>
        <w:object>
          <v:shape id="_x0000_i1056" o:spt="75" type="#_x0000_t75" style="height:15.75pt;width:13.5pt;" o:ole="t" filled="f" o:preferrelative="t" stroked="f" coordsize="21600,21600">
            <v:path/>
            <v:fill on="f" focussize="0,0"/>
            <v:stroke on="f" joinstyle="miter"/>
            <v:imagedata r:id="rId85" o:title=""/>
            <o:lock v:ext="edit" aspectratio="t"/>
            <w10:wrap type="none"/>
            <w10:anchorlock/>
          </v:shape>
          <o:OLEObject Type="Embed" ProgID="Equation.3" ShapeID="_x0000_i1056" DrawAspect="Content" ObjectID="_1468075756" r:id="rId84">
            <o:LockedField>false</o:LockedField>
          </o:OLEObject>
        </w:object>
      </w:r>
      <w:r>
        <w:rPr>
          <w:kern w:val="28"/>
          <w:sz w:val="24"/>
        </w:rPr>
        <w:t>—样点地价平均值；</w:t>
      </w:r>
    </w:p>
    <w:p w14:paraId="375638CA">
      <w:pPr>
        <w:spacing w:line="500" w:lineRule="exact"/>
        <w:ind w:firstLine="1200" w:firstLineChars="500"/>
        <w:rPr>
          <w:kern w:val="28"/>
          <w:sz w:val="24"/>
        </w:rPr>
      </w:pPr>
      <w:r>
        <w:rPr>
          <w:kern w:val="28"/>
          <w:sz w:val="24"/>
        </w:rPr>
        <w:object>
          <v:shape id="_x0000_i1057" o:spt="75" type="#_x0000_t75" style="height:18.75pt;width:12pt;" o:ole="t" filled="f" o:preferrelative="t" stroked="f" coordsize="21600,21600">
            <v:path/>
            <v:fill on="f" focussize="0,0"/>
            <v:stroke on="f" joinstyle="miter"/>
            <v:imagedata r:id="rId87" o:title=""/>
            <o:lock v:ext="edit" aspectratio="t"/>
            <w10:wrap type="none"/>
            <w10:anchorlock/>
          </v:shape>
          <o:OLEObject Type="Embed" ProgID="Equation.3" ShapeID="_x0000_i1057" DrawAspect="Content" ObjectID="_1468075757" r:id="rId86">
            <o:LockedField>false</o:LockedField>
          </o:OLEObject>
        </w:object>
      </w:r>
      <w:r>
        <w:rPr>
          <w:kern w:val="28"/>
          <w:sz w:val="24"/>
        </w:rPr>
        <w:t>—某样点地价；</w:t>
      </w:r>
    </w:p>
    <w:p w14:paraId="19881681">
      <w:pPr>
        <w:spacing w:line="500" w:lineRule="exact"/>
        <w:ind w:firstLine="1200" w:firstLineChars="500"/>
        <w:rPr>
          <w:kern w:val="28"/>
          <w:sz w:val="24"/>
        </w:rPr>
      </w:pPr>
      <w:r>
        <w:rPr>
          <w:kern w:val="28"/>
          <w:sz w:val="24"/>
        </w:rPr>
        <w:object>
          <v:shape id="_x0000_i1058" o:spt="75" type="#_x0000_t75" style="height:13.5pt;width:11.25pt;" o:ole="t" filled="f" o:preferrelative="t" stroked="f" coordsize="21600,21600">
            <v:path/>
            <v:fill on="f" focussize="0,0"/>
            <v:stroke on="f" joinstyle="miter"/>
            <v:imagedata r:id="rId89" o:title=""/>
            <o:lock v:ext="edit" aspectratio="t"/>
            <w10:wrap type="none"/>
            <w10:anchorlock/>
          </v:shape>
          <o:OLEObject Type="Embed" ProgID="Equation.3" ShapeID="_x0000_i1058" DrawAspect="Content" ObjectID="_1468075758" r:id="rId88">
            <o:LockedField>false</o:LockedField>
          </o:OLEObject>
        </w:object>
      </w:r>
      <w:r>
        <w:rPr>
          <w:kern w:val="28"/>
          <w:sz w:val="24"/>
        </w:rPr>
        <w:t>—标准差；</w:t>
      </w:r>
    </w:p>
    <w:p w14:paraId="1405CC32">
      <w:pPr>
        <w:spacing w:line="500" w:lineRule="exact"/>
        <w:ind w:firstLine="1200" w:firstLineChars="500"/>
        <w:rPr>
          <w:kern w:val="28"/>
          <w:sz w:val="24"/>
        </w:rPr>
      </w:pPr>
      <w:r>
        <w:rPr>
          <w:kern w:val="28"/>
          <w:sz w:val="24"/>
        </w:rPr>
        <w:object>
          <v:shape id="_x0000_i1059" o:spt="75" type="#_x0000_t75" style="height:11.25pt;width:11.25pt;" o:ole="t" filled="f" o:preferrelative="t" stroked="f" coordsize="21600,21600">
            <v:path/>
            <v:fill on="f" focussize="0,0"/>
            <v:stroke on="f" joinstyle="miter"/>
            <v:imagedata r:id="rId91" o:title=""/>
            <o:lock v:ext="edit" aspectratio="t"/>
            <w10:wrap type="none"/>
            <w10:anchorlock/>
          </v:shape>
          <o:OLEObject Type="Embed" ProgID="Equation.3" ShapeID="_x0000_i1059" DrawAspect="Content" ObjectID="_1468075759" r:id="rId90">
            <o:LockedField>false</o:LockedField>
          </o:OLEObject>
        </w:object>
      </w:r>
      <w:r>
        <w:rPr>
          <w:kern w:val="28"/>
          <w:sz w:val="24"/>
        </w:rPr>
        <w:t>—样本总数。</w:t>
      </w:r>
    </w:p>
    <w:p w14:paraId="798B0950">
      <w:pPr>
        <w:spacing w:line="500" w:lineRule="exact"/>
        <w:ind w:firstLine="480" w:firstLineChars="200"/>
        <w:rPr>
          <w:kern w:val="28"/>
          <w:sz w:val="24"/>
        </w:rPr>
      </w:pPr>
      <w:r>
        <w:rPr>
          <w:kern w:val="28"/>
          <w:sz w:val="24"/>
        </w:rPr>
        <w:t>（4）按照X±2S的标准对每一样本进行逐个检验，当某一样点地价值（Xi）＞所在土地级或路段的(X＋2S)，或＜(X－2S)时，则作为异常值予以剔除；</w:t>
      </w:r>
    </w:p>
    <w:p w14:paraId="77DA287E">
      <w:pPr>
        <w:spacing w:line="500" w:lineRule="exact"/>
        <w:ind w:firstLine="480" w:firstLineChars="200"/>
        <w:rPr>
          <w:kern w:val="28"/>
          <w:sz w:val="24"/>
        </w:rPr>
      </w:pPr>
      <w:r>
        <w:rPr>
          <w:kern w:val="28"/>
          <w:sz w:val="24"/>
        </w:rPr>
        <w:t>（5）对剔除了异常值的样本，按（1）、（2）、（3）、（4）步，再反复进行检验、剔除异常值，直到所有样本都在规定的精度及范围内为止。</w:t>
      </w:r>
    </w:p>
    <w:p w14:paraId="30E4BE1B">
      <w:pPr>
        <w:pStyle w:val="4"/>
        <w:widowControl w:val="0"/>
        <w:tabs>
          <w:tab w:val="left" w:pos="720"/>
        </w:tabs>
        <w:spacing w:before="120" w:after="120" w:line="500" w:lineRule="exact"/>
        <w:ind w:left="826" w:hanging="826"/>
        <w:jc w:val="both"/>
        <w:rPr>
          <w:rFonts w:ascii="宋体" w:hAnsi="宋体"/>
          <w:sz w:val="24"/>
          <w:szCs w:val="24"/>
        </w:rPr>
      </w:pPr>
      <w:bookmarkStart w:id="218" w:name="_Toc534833383"/>
      <w:bookmarkStart w:id="219" w:name="_Toc535399953"/>
      <w:bookmarkStart w:id="220" w:name="_Toc47384642"/>
      <w:bookmarkStart w:id="221" w:name="_Toc534983062"/>
      <w:r>
        <w:rPr>
          <w:rFonts w:hint="eastAsia" w:ascii="宋体" w:hAnsi="宋体"/>
          <w:sz w:val="24"/>
          <w:szCs w:val="24"/>
        </w:rPr>
        <w:t>4.3</w:t>
      </w:r>
      <w:r>
        <w:rPr>
          <w:rFonts w:ascii="宋体" w:hAnsi="宋体"/>
          <w:sz w:val="24"/>
          <w:szCs w:val="24"/>
        </w:rPr>
        <w:t>.5 样点数据修正</w:t>
      </w:r>
      <w:bookmarkEnd w:id="218"/>
      <w:bookmarkEnd w:id="219"/>
      <w:bookmarkEnd w:id="220"/>
      <w:bookmarkEnd w:id="221"/>
    </w:p>
    <w:p w14:paraId="70E96D84">
      <w:pPr>
        <w:spacing w:line="500" w:lineRule="exact"/>
        <w:ind w:firstLine="482"/>
        <w:rPr>
          <w:sz w:val="24"/>
        </w:rPr>
      </w:pPr>
      <w:r>
        <w:rPr>
          <w:sz w:val="24"/>
        </w:rPr>
        <w:t>国有农用地基准地价评估工作中，由于收集到的样点资料在使用年期、交易期日等方面均与基准地价内涵有差异。因此，在利用样点地价进行基准地价评估工作前，需要先对评估得到的样点现状条件下的地价进行相关修正，</w:t>
      </w:r>
      <w:r>
        <w:rPr>
          <w:rFonts w:hint="eastAsia"/>
          <w:sz w:val="24"/>
        </w:rPr>
        <w:t>按照</w:t>
      </w:r>
      <w:r>
        <w:rPr>
          <w:sz w:val="24"/>
        </w:rPr>
        <w:t>标准化公式修正至本次基准地价设定内涵条件下的地价。根据本次基准地价更新的地价内涵，将上述各公式测算所得的样点地价进行年期修正、期日修正、容积率修正，以修正后的样点地价为基础，进行分析、处理的各类用地的基准地价。本次样点地价的修正工作直接利用EXCEL电子表格</w:t>
      </w:r>
      <w:r>
        <w:rPr>
          <w:rFonts w:hint="eastAsia"/>
          <w:sz w:val="24"/>
        </w:rPr>
        <w:t>进行快速</w:t>
      </w:r>
      <w:r>
        <w:rPr>
          <w:sz w:val="24"/>
        </w:rPr>
        <w:t>、准确、方便</w:t>
      </w:r>
      <w:r>
        <w:rPr>
          <w:rFonts w:hint="eastAsia"/>
          <w:sz w:val="24"/>
        </w:rPr>
        <w:t>的操作</w:t>
      </w:r>
      <w:r>
        <w:rPr>
          <w:sz w:val="24"/>
        </w:rPr>
        <w:t>，然后利用“城镇土地定级及基准地价动态更新系统”计算。具体修正系数及公式见国有农用地基准地价修正体系。</w:t>
      </w:r>
    </w:p>
    <w:p w14:paraId="599C84AA">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222" w:name="_Toc47384643"/>
      <w:r>
        <w:rPr>
          <w:rFonts w:hint="eastAsia" w:ascii="宋体" w:hAnsi="宋体"/>
          <w:bCs/>
          <w:kern w:val="2"/>
          <w:szCs w:val="28"/>
        </w:rPr>
        <w:t>4</w:t>
      </w:r>
      <w:r>
        <w:rPr>
          <w:rFonts w:ascii="宋体" w:hAnsi="宋体"/>
          <w:bCs/>
          <w:kern w:val="2"/>
          <w:szCs w:val="28"/>
        </w:rPr>
        <w:t>.</w:t>
      </w:r>
      <w:r>
        <w:rPr>
          <w:rFonts w:hint="eastAsia" w:ascii="宋体" w:hAnsi="宋体"/>
          <w:bCs/>
          <w:kern w:val="2"/>
          <w:szCs w:val="28"/>
        </w:rPr>
        <w:t>4基准地价评估结果</w:t>
      </w:r>
      <w:bookmarkEnd w:id="222"/>
    </w:p>
    <w:p w14:paraId="2FB9FF5A">
      <w:pPr>
        <w:spacing w:line="500" w:lineRule="exact"/>
        <w:ind w:firstLine="600" w:firstLineChars="250"/>
        <w:rPr>
          <w:sz w:val="24"/>
        </w:rPr>
      </w:pPr>
      <w:r>
        <w:rPr>
          <w:rFonts w:hint="eastAsia"/>
          <w:sz w:val="24"/>
        </w:rPr>
        <w:t>本次鄂州市</w:t>
      </w:r>
      <w:r>
        <w:rPr>
          <w:sz w:val="24"/>
        </w:rPr>
        <w:t>国有农用地基准地价评估</w:t>
      </w:r>
      <w:r>
        <w:rPr>
          <w:rFonts w:hint="eastAsia"/>
          <w:sz w:val="24"/>
        </w:rPr>
        <w:t>结果见表4-12。</w:t>
      </w:r>
    </w:p>
    <w:p w14:paraId="64FF4164">
      <w:pPr>
        <w:spacing w:line="500" w:lineRule="exact"/>
        <w:jc w:val="center"/>
        <w:rPr>
          <w:sz w:val="24"/>
        </w:rPr>
      </w:pPr>
      <w:r>
        <w:rPr>
          <w:b/>
          <w:szCs w:val="21"/>
        </w:rPr>
        <w:t>表</w:t>
      </w:r>
      <w:r>
        <w:rPr>
          <w:rFonts w:hint="eastAsia"/>
          <w:b/>
          <w:szCs w:val="21"/>
        </w:rPr>
        <w:t>4-1</w:t>
      </w:r>
      <w:r>
        <w:rPr>
          <w:b/>
          <w:szCs w:val="21"/>
        </w:rPr>
        <w:t>2 鄂州市国有农用地各级别土地价格</w:t>
      </w:r>
    </w:p>
    <w:tbl>
      <w:tblPr>
        <w:tblStyle w:val="40"/>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1"/>
        <w:gridCol w:w="2651"/>
        <w:gridCol w:w="2464"/>
      </w:tblGrid>
      <w:tr w14:paraId="7836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1" w:type="dxa"/>
            <w:vAlign w:val="center"/>
          </w:tcPr>
          <w:p w14:paraId="08F2EE59">
            <w:pPr>
              <w:jc w:val="center"/>
            </w:pPr>
            <w:r>
              <w:t>级别</w:t>
            </w:r>
          </w:p>
        </w:tc>
        <w:tc>
          <w:tcPr>
            <w:tcW w:w="2651" w:type="dxa"/>
            <w:vAlign w:val="center"/>
          </w:tcPr>
          <w:p w14:paraId="3EA4039C">
            <w:pPr>
              <w:jc w:val="center"/>
            </w:pPr>
            <w:r>
              <w:rPr>
                <w:rFonts w:hint="eastAsia" w:ascii="宋体" w:hAnsi="宋体" w:cs="宋体"/>
              </w:rPr>
              <w:t>Ⅰ</w:t>
            </w:r>
            <w:r>
              <w:t>级</w:t>
            </w:r>
          </w:p>
        </w:tc>
        <w:tc>
          <w:tcPr>
            <w:tcW w:w="2464" w:type="dxa"/>
            <w:vAlign w:val="center"/>
          </w:tcPr>
          <w:p w14:paraId="7D901A74">
            <w:pPr>
              <w:jc w:val="center"/>
            </w:pPr>
            <w:r>
              <w:rPr>
                <w:rFonts w:hint="eastAsia" w:ascii="宋体" w:hAnsi="宋体" w:cs="宋体"/>
              </w:rPr>
              <w:t>Ⅱ</w:t>
            </w:r>
            <w:r>
              <w:t>级</w:t>
            </w:r>
          </w:p>
        </w:tc>
      </w:tr>
      <w:tr w14:paraId="7555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1" w:type="dxa"/>
            <w:vAlign w:val="center"/>
          </w:tcPr>
          <w:p w14:paraId="7729A67A">
            <w:pPr>
              <w:jc w:val="center"/>
            </w:pPr>
            <w:r>
              <w:t>国有农用地价格（元/亩）</w:t>
            </w:r>
          </w:p>
        </w:tc>
        <w:tc>
          <w:tcPr>
            <w:tcW w:w="2651" w:type="dxa"/>
          </w:tcPr>
          <w:p w14:paraId="7723E542">
            <w:pPr>
              <w:jc w:val="center"/>
            </w:pPr>
            <w:r>
              <w:t xml:space="preserve">29863 </w:t>
            </w:r>
          </w:p>
        </w:tc>
        <w:tc>
          <w:tcPr>
            <w:tcW w:w="2464" w:type="dxa"/>
          </w:tcPr>
          <w:p w14:paraId="2E4C52E5">
            <w:pPr>
              <w:jc w:val="center"/>
            </w:pPr>
            <w:r>
              <w:t>23345</w:t>
            </w:r>
          </w:p>
        </w:tc>
      </w:tr>
    </w:tbl>
    <w:p w14:paraId="3921272E">
      <w:pPr>
        <w:pStyle w:val="2"/>
        <w:keepNext w:val="0"/>
        <w:keepLines w:val="0"/>
        <w:pageBreakBefore/>
        <w:widowControl w:val="0"/>
        <w:tabs>
          <w:tab w:val="left" w:pos="1440"/>
        </w:tabs>
        <w:spacing w:line="360" w:lineRule="auto"/>
        <w:ind w:left="578" w:hanging="578" w:hangingChars="192"/>
        <w:jc w:val="center"/>
        <w:rPr>
          <w:rFonts w:ascii="黑体" w:hAnsi="黑体" w:eastAsia="黑体"/>
        </w:rPr>
      </w:pPr>
      <w:bookmarkStart w:id="223" w:name="_Toc47384644"/>
      <w:bookmarkStart w:id="224" w:name="_Toc533590608"/>
      <w:r>
        <w:rPr>
          <w:rFonts w:ascii="黑体" w:hAnsi="黑体" w:eastAsia="黑体"/>
          <w:sz w:val="30"/>
          <w:szCs w:val="30"/>
        </w:rPr>
        <w:t>第</w:t>
      </w:r>
      <w:r>
        <w:rPr>
          <w:rFonts w:hint="eastAsia" w:ascii="黑体" w:hAnsi="黑体" w:eastAsia="黑体"/>
          <w:sz w:val="30"/>
          <w:szCs w:val="30"/>
        </w:rPr>
        <w:t>五</w:t>
      </w:r>
      <w:r>
        <w:rPr>
          <w:rFonts w:ascii="黑体" w:hAnsi="黑体" w:eastAsia="黑体"/>
          <w:sz w:val="30"/>
          <w:szCs w:val="30"/>
        </w:rPr>
        <w:t>章基准地价修正体系编制</w:t>
      </w:r>
      <w:bookmarkEnd w:id="223"/>
      <w:bookmarkEnd w:id="224"/>
    </w:p>
    <w:p w14:paraId="6C135E83">
      <w:pPr>
        <w:spacing w:line="360" w:lineRule="auto"/>
        <w:ind w:firstLine="480" w:firstLineChars="200"/>
        <w:rPr>
          <w:rFonts w:eastAsia="Times New Roman"/>
          <w:sz w:val="24"/>
        </w:rPr>
      </w:pPr>
      <w:r>
        <w:rPr>
          <w:rFonts w:hint="eastAsia"/>
          <w:sz w:val="24"/>
        </w:rPr>
        <w:t>为更好地发挥基准地价的作用，满足政府土地管理职能的需要，必须分析宗地地价同基准地价的关系。</w:t>
      </w:r>
      <w:r>
        <w:rPr>
          <w:sz w:val="24"/>
        </w:rPr>
        <w:t>基准地价修正体系是指利用替代原理，建立基准地价、宗地地价及其影响因素之间的相关关系，编制出基准地价在不同的因素条件下修正为宗地地价的系数体系，以便能在宗地条件调查的基础上，按对应的修正系数，快速高效、及时地评估出宗地地价</w:t>
      </w:r>
      <w:r>
        <w:rPr>
          <w:rFonts w:hint="eastAsia"/>
          <w:sz w:val="24"/>
        </w:rPr>
        <w:t>，充分发挥基准地价的作用。</w:t>
      </w:r>
    </w:p>
    <w:p w14:paraId="00847450">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225" w:name="_Toc203225002"/>
      <w:bookmarkStart w:id="226" w:name="_Toc332554632"/>
      <w:bookmarkStart w:id="227" w:name="_Toc376093953"/>
      <w:bookmarkStart w:id="228" w:name="_Toc47384645"/>
      <w:bookmarkStart w:id="229" w:name="_Toc533590609"/>
      <w:bookmarkStart w:id="230" w:name="_Toc203225051"/>
      <w:r>
        <w:rPr>
          <w:rFonts w:hint="eastAsia" w:ascii="宋体" w:hAnsi="宋体"/>
          <w:bCs/>
          <w:kern w:val="2"/>
          <w:szCs w:val="28"/>
        </w:rPr>
        <w:t>5</w:t>
      </w:r>
      <w:r>
        <w:rPr>
          <w:rFonts w:ascii="宋体" w:hAnsi="宋体"/>
          <w:bCs/>
          <w:kern w:val="2"/>
          <w:szCs w:val="28"/>
        </w:rPr>
        <w:t>.1 基准地价修正体系及编制原理</w:t>
      </w:r>
      <w:bookmarkEnd w:id="225"/>
      <w:bookmarkEnd w:id="226"/>
      <w:bookmarkEnd w:id="227"/>
      <w:bookmarkEnd w:id="228"/>
      <w:bookmarkEnd w:id="229"/>
      <w:bookmarkEnd w:id="230"/>
    </w:p>
    <w:p w14:paraId="07CF2347">
      <w:pPr>
        <w:pStyle w:val="4"/>
        <w:widowControl w:val="0"/>
        <w:tabs>
          <w:tab w:val="left" w:pos="720"/>
        </w:tabs>
        <w:spacing w:before="120" w:after="120" w:line="500" w:lineRule="exact"/>
        <w:ind w:left="826" w:hanging="826"/>
        <w:jc w:val="both"/>
        <w:rPr>
          <w:rFonts w:ascii="宋体" w:hAnsi="宋体"/>
          <w:sz w:val="24"/>
          <w:szCs w:val="24"/>
        </w:rPr>
      </w:pPr>
      <w:bookmarkStart w:id="231" w:name="_Toc535399957"/>
      <w:bookmarkStart w:id="232" w:name="_Toc47384646"/>
      <w:r>
        <w:rPr>
          <w:rFonts w:hint="eastAsia" w:ascii="宋体" w:hAnsi="宋体"/>
          <w:sz w:val="24"/>
          <w:szCs w:val="24"/>
        </w:rPr>
        <w:t>5</w:t>
      </w:r>
      <w:r>
        <w:rPr>
          <w:rFonts w:ascii="宋体" w:hAnsi="宋体"/>
          <w:sz w:val="24"/>
          <w:szCs w:val="24"/>
        </w:rPr>
        <w:t xml:space="preserve">.1.1 </w:t>
      </w:r>
      <w:r>
        <w:rPr>
          <w:rFonts w:hint="eastAsia" w:ascii="宋体" w:hAnsi="宋体"/>
          <w:sz w:val="24"/>
          <w:szCs w:val="24"/>
        </w:rPr>
        <w:t>基准地价修正体系</w:t>
      </w:r>
      <w:bookmarkEnd w:id="231"/>
      <w:bookmarkEnd w:id="232"/>
    </w:p>
    <w:p w14:paraId="002C871A">
      <w:pPr>
        <w:spacing w:line="360" w:lineRule="auto"/>
        <w:ind w:firstLine="480" w:firstLineChars="200"/>
      </w:pPr>
      <w:r>
        <w:rPr>
          <w:rFonts w:hint="eastAsia"/>
          <w:sz w:val="24"/>
        </w:rPr>
        <w:t>影响地价的因素有一般因素，区域因素和个别因素，但由于在一个地区，一般因素地变化只会引起该地区地价水平的变化，而基准地价与宗地样点地价的差异，一般是由于影响地价的区域和个别因素造成的。因此建立地价修正体系首先要选出影响宗地地价的各种因素，判断他们在何种程度上影响地价变动，其次，对各种因素的强弱程度进行划分，找出各种程度下因素影响地价的修正幅度。</w:t>
      </w:r>
      <w:r>
        <w:rPr>
          <w:rFonts w:ascii="宋体" w:hAnsi="宋体"/>
          <w:sz w:val="24"/>
        </w:rPr>
        <w:t>基准地价修正体系可分为不同用地类型、不同修正因素、不同级别修正三个层次。</w:t>
      </w:r>
    </w:p>
    <w:p w14:paraId="2539794E">
      <w:pPr>
        <w:pStyle w:val="4"/>
        <w:widowControl w:val="0"/>
        <w:tabs>
          <w:tab w:val="left" w:pos="720"/>
        </w:tabs>
        <w:spacing w:before="120" w:after="120" w:line="500" w:lineRule="exact"/>
        <w:ind w:left="826" w:hanging="826"/>
        <w:jc w:val="both"/>
        <w:rPr>
          <w:rFonts w:ascii="宋体" w:hAnsi="宋体"/>
          <w:sz w:val="24"/>
          <w:szCs w:val="24"/>
        </w:rPr>
      </w:pPr>
      <w:bookmarkStart w:id="233" w:name="_Toc47384647"/>
      <w:bookmarkStart w:id="234" w:name="_Toc535399958"/>
      <w:bookmarkStart w:id="235" w:name="_Toc533590611"/>
      <w:r>
        <w:rPr>
          <w:rFonts w:hint="eastAsia" w:ascii="宋体" w:hAnsi="宋体"/>
          <w:sz w:val="24"/>
          <w:szCs w:val="24"/>
        </w:rPr>
        <w:t>5</w:t>
      </w:r>
      <w:r>
        <w:rPr>
          <w:rFonts w:ascii="宋体" w:hAnsi="宋体"/>
          <w:sz w:val="24"/>
          <w:szCs w:val="24"/>
        </w:rPr>
        <w:t xml:space="preserve">.1.2 </w:t>
      </w:r>
      <w:r>
        <w:rPr>
          <w:rFonts w:hint="eastAsia" w:ascii="宋体" w:hAnsi="宋体"/>
          <w:sz w:val="24"/>
          <w:szCs w:val="24"/>
        </w:rPr>
        <w:t>基准地价修正因素及其权重确定</w:t>
      </w:r>
      <w:bookmarkEnd w:id="233"/>
      <w:bookmarkEnd w:id="234"/>
      <w:bookmarkEnd w:id="235"/>
    </w:p>
    <w:p w14:paraId="49DEC637">
      <w:pPr>
        <w:spacing w:line="360" w:lineRule="auto"/>
        <w:ind w:firstLine="480" w:firstLineChars="200"/>
        <w:rPr>
          <w:rFonts w:ascii="宋体" w:hAnsi="宋体" w:cs="宋体"/>
          <w:sz w:val="24"/>
        </w:rPr>
      </w:pPr>
      <w:r>
        <w:rPr>
          <w:rFonts w:hint="eastAsia" w:ascii="宋体" w:hAnsi="宋体" w:cs="宋体"/>
          <w:sz w:val="24"/>
        </w:rPr>
        <w:t>根据地租地价理论和区位理论可知影响土地定级和土地价格的区域因素具有一致性。在进行基准地价因素修正体系编制时，选取土地定级因素因子体系作为地价影响的区域因素，以专家打分计算的定级因素权重作为宗地地价区域影响因素权重，再根据实际情况进行适当调整，得到各类用地修正因素体系及修正系数表。鄂州市国有农用地基准地价修正系数体系建立遵循以下原则：</w:t>
      </w:r>
    </w:p>
    <w:p w14:paraId="65DBE7AF">
      <w:pPr>
        <w:spacing w:line="360" w:lineRule="auto"/>
        <w:ind w:firstLine="480" w:firstLineChars="200"/>
        <w:rPr>
          <w:rFonts w:ascii="宋体" w:hAnsi="宋体" w:cs="宋体"/>
          <w:sz w:val="24"/>
        </w:rPr>
      </w:pPr>
      <w:r>
        <w:rPr>
          <w:rFonts w:hint="eastAsia" w:ascii="宋体" w:hAnsi="宋体" w:cs="宋体"/>
          <w:sz w:val="24"/>
        </w:rPr>
        <w:t>（1）因素全面，权重确定科学；</w:t>
      </w:r>
    </w:p>
    <w:p w14:paraId="25A6F970">
      <w:pPr>
        <w:spacing w:line="360" w:lineRule="auto"/>
        <w:ind w:firstLine="480" w:firstLineChars="200"/>
        <w:rPr>
          <w:rFonts w:ascii="宋体" w:hAnsi="宋体" w:cs="宋体"/>
          <w:sz w:val="24"/>
        </w:rPr>
      </w:pPr>
      <w:r>
        <w:rPr>
          <w:rFonts w:hint="eastAsia" w:ascii="宋体" w:hAnsi="宋体" w:cs="宋体"/>
          <w:sz w:val="24"/>
        </w:rPr>
        <w:t>（2）因素指标说明量化，增强评估工作的可操作性；</w:t>
      </w:r>
    </w:p>
    <w:p w14:paraId="64CE3361">
      <w:pPr>
        <w:spacing w:line="360" w:lineRule="auto"/>
        <w:ind w:firstLine="480" w:firstLineChars="200"/>
        <w:rPr>
          <w:rFonts w:ascii="宋体" w:hAnsi="宋体" w:cs="宋体"/>
          <w:sz w:val="24"/>
        </w:rPr>
      </w:pPr>
      <w:r>
        <w:rPr>
          <w:rFonts w:hint="eastAsia" w:ascii="宋体" w:hAnsi="宋体" w:cs="宋体"/>
          <w:sz w:val="24"/>
        </w:rPr>
        <w:t>（3）专家咨询与实际调查相结合；</w:t>
      </w:r>
    </w:p>
    <w:p w14:paraId="2063A33B">
      <w:pPr>
        <w:spacing w:line="360" w:lineRule="auto"/>
        <w:ind w:firstLine="480" w:firstLineChars="200"/>
        <w:rPr>
          <w:rFonts w:ascii="宋体" w:hAnsi="宋体" w:cs="宋体"/>
          <w:sz w:val="24"/>
        </w:rPr>
      </w:pPr>
      <w:r>
        <w:rPr>
          <w:rFonts w:hint="eastAsia" w:ascii="宋体" w:hAnsi="宋体" w:cs="宋体"/>
          <w:sz w:val="24"/>
        </w:rPr>
        <w:t>（4）修正范围合理，覆盖面广。</w:t>
      </w:r>
    </w:p>
    <w:p w14:paraId="6ED08F77">
      <w:pPr>
        <w:spacing w:line="360" w:lineRule="auto"/>
        <w:ind w:firstLine="480" w:firstLineChars="200"/>
        <w:rPr>
          <w:rFonts w:ascii="宋体" w:hAnsi="宋体" w:cs="宋体"/>
          <w:sz w:val="24"/>
        </w:rPr>
      </w:pPr>
      <w:r>
        <w:rPr>
          <w:rFonts w:hint="eastAsia" w:ascii="宋体" w:hAnsi="宋体" w:cs="宋体"/>
          <w:sz w:val="24"/>
        </w:rPr>
        <w:t>本次鄂州市国有农用地修正因素采用分类定级的因素，个别修正因素参考鄂州市实际情况和国家、省级相关技术规范确定。</w:t>
      </w:r>
    </w:p>
    <w:p w14:paraId="6CAA64FF">
      <w:pPr>
        <w:pStyle w:val="4"/>
        <w:widowControl w:val="0"/>
        <w:tabs>
          <w:tab w:val="left" w:pos="720"/>
        </w:tabs>
        <w:spacing w:before="120" w:after="120" w:line="500" w:lineRule="exact"/>
        <w:ind w:left="826" w:hanging="826"/>
        <w:jc w:val="both"/>
        <w:rPr>
          <w:rFonts w:ascii="宋体" w:hAnsi="宋体"/>
          <w:sz w:val="24"/>
          <w:szCs w:val="24"/>
        </w:rPr>
      </w:pPr>
      <w:bookmarkStart w:id="236" w:name="_Toc203225005"/>
      <w:bookmarkStart w:id="237" w:name="_Toc332554635"/>
      <w:bookmarkStart w:id="238" w:name="_Toc376093956"/>
      <w:bookmarkStart w:id="239" w:name="_Toc533590612"/>
      <w:bookmarkStart w:id="240" w:name="_Toc535399959"/>
      <w:bookmarkStart w:id="241" w:name="_Toc47384648"/>
      <w:r>
        <w:rPr>
          <w:rFonts w:hint="eastAsia" w:ascii="宋体" w:hAnsi="宋体"/>
          <w:sz w:val="24"/>
          <w:szCs w:val="24"/>
        </w:rPr>
        <w:t>5</w:t>
      </w:r>
      <w:r>
        <w:rPr>
          <w:rFonts w:ascii="宋体" w:hAnsi="宋体"/>
          <w:sz w:val="24"/>
          <w:szCs w:val="24"/>
        </w:rPr>
        <w:t xml:space="preserve">.1.3 </w:t>
      </w:r>
      <w:r>
        <w:rPr>
          <w:rFonts w:hint="eastAsia" w:ascii="宋体" w:hAnsi="宋体"/>
          <w:sz w:val="24"/>
          <w:szCs w:val="24"/>
        </w:rPr>
        <w:t>基准地价修正体系编制原理</w:t>
      </w:r>
      <w:bookmarkEnd w:id="236"/>
      <w:bookmarkEnd w:id="237"/>
      <w:bookmarkEnd w:id="238"/>
      <w:bookmarkEnd w:id="239"/>
      <w:bookmarkEnd w:id="240"/>
      <w:bookmarkEnd w:id="241"/>
    </w:p>
    <w:p w14:paraId="04A20AB7">
      <w:pPr>
        <w:pStyle w:val="180"/>
        <w:ind w:firstLine="480"/>
      </w:pPr>
      <w:r>
        <w:t>（1）区域因素修正系数编制</w:t>
      </w:r>
    </w:p>
    <w:p w14:paraId="698E6741">
      <w:pPr>
        <w:spacing w:line="500" w:lineRule="exact"/>
        <w:ind w:firstLine="480" w:firstLineChars="200"/>
        <w:rPr>
          <w:rFonts w:eastAsia="Times New Roman"/>
          <w:sz w:val="24"/>
        </w:rPr>
      </w:pPr>
      <w:r>
        <w:rPr>
          <w:sz w:val="24"/>
        </w:rPr>
        <w:t>按照《</w:t>
      </w:r>
      <w:r>
        <w:rPr>
          <w:rFonts w:hint="eastAsia"/>
          <w:sz w:val="24"/>
        </w:rPr>
        <w:t>农用地</w:t>
      </w:r>
      <w:r>
        <w:rPr>
          <w:sz w:val="24"/>
        </w:rPr>
        <w:t>土地估价规程》</w:t>
      </w:r>
      <w:r>
        <w:rPr>
          <w:rFonts w:hint="eastAsia"/>
          <w:sz w:val="24"/>
        </w:rPr>
        <w:t>（GB/T 28460—2012）</w:t>
      </w:r>
      <w:r>
        <w:rPr>
          <w:sz w:val="24"/>
        </w:rPr>
        <w:t>，区域因素修正系数的编制采用土地利用效益资料、市场地价资料和定级分值三种方法。本次基准地价修正系数表采用市场地价资料编制。为了给土地评估提供形象直观的因素条件描述，级别内因素条件按优、较优、一般、较劣、劣分为5个段，并给出每段对应的条件指标描述和相应的地价修正系数。区位条件修正系数编制按照以下步骤进行：</w:t>
      </w:r>
    </w:p>
    <w:p w14:paraId="371811BB">
      <w:pPr>
        <w:pStyle w:val="123"/>
        <w:spacing w:line="500" w:lineRule="exact"/>
        <w:ind w:firstLine="480"/>
        <w:rPr>
          <w:rFonts w:hint="default" w:ascii="Times New Roman" w:hAnsi="Times New Roman" w:eastAsia="Times New Roman"/>
          <w:sz w:val="24"/>
        </w:rPr>
      </w:pPr>
      <w:r>
        <w:rPr>
          <w:rFonts w:hint="default" w:ascii="Times New Roman" w:hAnsi="Times New Roman"/>
          <w:sz w:val="24"/>
        </w:rPr>
        <w:t>1）级别基准地价</w:t>
      </w:r>
    </w:p>
    <w:p w14:paraId="37CCBB5F">
      <w:pPr>
        <w:spacing w:line="500" w:lineRule="exact"/>
        <w:ind w:firstLine="480" w:firstLineChars="200"/>
        <w:rPr>
          <w:rFonts w:eastAsia="Times New Roman"/>
          <w:sz w:val="24"/>
        </w:rPr>
      </w:pPr>
      <w:r>
        <w:rPr>
          <w:sz w:val="24"/>
        </w:rPr>
        <w:t>按评估结果，确定级别基准地价</w:t>
      </w:r>
      <w:r>
        <w:rPr>
          <w:rFonts w:hint="eastAsia"/>
          <w:sz w:val="24"/>
        </w:rPr>
        <w:t>。</w:t>
      </w:r>
    </w:p>
    <w:p w14:paraId="765F73E3">
      <w:pPr>
        <w:pStyle w:val="123"/>
        <w:spacing w:line="500" w:lineRule="exact"/>
        <w:ind w:firstLine="480"/>
        <w:rPr>
          <w:rFonts w:hint="default" w:ascii="Times New Roman" w:hAnsi="Times New Roman" w:eastAsia="Times New Roman"/>
          <w:sz w:val="24"/>
        </w:rPr>
      </w:pPr>
      <w:r>
        <w:rPr>
          <w:rFonts w:hint="default" w:ascii="Times New Roman" w:hAnsi="Times New Roman"/>
          <w:sz w:val="24"/>
        </w:rPr>
        <w:t>2）计算修正幅度值</w:t>
      </w:r>
    </w:p>
    <w:p w14:paraId="57D06A95">
      <w:pPr>
        <w:spacing w:line="500" w:lineRule="exact"/>
        <w:ind w:left="143" w:leftChars="68" w:firstLine="360" w:firstLineChars="150"/>
        <w:rPr>
          <w:sz w:val="24"/>
        </w:rPr>
      </w:pPr>
      <w:r>
        <w:rPr>
          <w:sz w:val="24"/>
        </w:rPr>
        <w:t>将调查到的区域正常地价的最高值、最低值与基准地价</w:t>
      </w:r>
      <w:r>
        <w:rPr>
          <w:rFonts w:hint="eastAsia"/>
          <w:sz w:val="24"/>
        </w:rPr>
        <w:t>做</w:t>
      </w:r>
      <w:r>
        <w:rPr>
          <w:sz w:val="24"/>
        </w:rPr>
        <w:t>相对值比较，得到相对于基准地价的最高和最低修正幅度值，其计算方法按以下公式确定。</w:t>
      </w:r>
    </w:p>
    <w:p w14:paraId="4116EA5A">
      <w:pPr>
        <w:spacing w:line="500" w:lineRule="exact"/>
        <w:ind w:left="143" w:leftChars="68" w:firstLine="840" w:firstLineChars="350"/>
        <w:rPr>
          <w:sz w:val="24"/>
        </w:rPr>
      </w:pPr>
      <w:r>
        <w:rPr>
          <w:rFonts w:hint="eastAsia"/>
          <w:sz w:val="24"/>
        </w:rPr>
        <w:t>F</w:t>
      </w:r>
      <w:r>
        <w:rPr>
          <w:rFonts w:hint="eastAsia"/>
          <w:sz w:val="24"/>
          <w:vertAlign w:val="subscript"/>
        </w:rPr>
        <w:t>1</w:t>
      </w:r>
      <w:r>
        <w:rPr>
          <w:rFonts w:hint="eastAsia"/>
          <w:sz w:val="24"/>
        </w:rPr>
        <w:t>=[(I</w:t>
      </w:r>
      <w:r>
        <w:rPr>
          <w:rFonts w:hint="eastAsia"/>
          <w:sz w:val="24"/>
          <w:vertAlign w:val="subscript"/>
        </w:rPr>
        <w:t>nb</w:t>
      </w:r>
      <w:r>
        <w:rPr>
          <w:rFonts w:hint="eastAsia"/>
          <w:sz w:val="24"/>
        </w:rPr>
        <w:t>-I</w:t>
      </w:r>
      <w:r>
        <w:rPr>
          <w:rFonts w:hint="eastAsia"/>
          <w:sz w:val="24"/>
          <w:vertAlign w:val="subscript"/>
        </w:rPr>
        <w:t>lb</w:t>
      </w:r>
      <w:r>
        <w:rPr>
          <w:rFonts w:hint="eastAsia"/>
          <w:sz w:val="24"/>
        </w:rPr>
        <w:t>)/I</w:t>
      </w:r>
      <w:r>
        <w:rPr>
          <w:rFonts w:hint="eastAsia"/>
          <w:sz w:val="24"/>
          <w:vertAlign w:val="subscript"/>
        </w:rPr>
        <w:t>lb</w:t>
      </w:r>
      <w:r>
        <w:rPr>
          <w:rFonts w:hint="eastAsia"/>
          <w:sz w:val="24"/>
        </w:rPr>
        <w:t>]×100%</w:t>
      </w:r>
    </w:p>
    <w:p w14:paraId="5B29C90A">
      <w:pPr>
        <w:spacing w:line="500" w:lineRule="exact"/>
        <w:ind w:left="143" w:leftChars="68" w:firstLine="840" w:firstLineChars="350"/>
        <w:rPr>
          <w:sz w:val="24"/>
        </w:rPr>
      </w:pPr>
      <w:r>
        <w:rPr>
          <w:rFonts w:hint="eastAsia"/>
          <w:sz w:val="24"/>
        </w:rPr>
        <w:t>F</w:t>
      </w:r>
      <w:r>
        <w:rPr>
          <w:rFonts w:hint="eastAsia"/>
          <w:sz w:val="24"/>
          <w:vertAlign w:val="subscript"/>
        </w:rPr>
        <w:t>2</w:t>
      </w:r>
      <w:r>
        <w:rPr>
          <w:rFonts w:hint="eastAsia"/>
          <w:sz w:val="24"/>
        </w:rPr>
        <w:t>=[(I</w:t>
      </w:r>
      <w:r>
        <w:rPr>
          <w:rFonts w:hint="eastAsia"/>
          <w:sz w:val="24"/>
          <w:vertAlign w:val="subscript"/>
        </w:rPr>
        <w:t>lb</w:t>
      </w:r>
      <w:r>
        <w:rPr>
          <w:rFonts w:hint="eastAsia"/>
          <w:sz w:val="24"/>
        </w:rPr>
        <w:t>-I</w:t>
      </w:r>
      <w:r>
        <w:rPr>
          <w:rFonts w:hint="eastAsia"/>
          <w:sz w:val="24"/>
          <w:vertAlign w:val="subscript"/>
        </w:rPr>
        <w:t>ni</w:t>
      </w:r>
      <w:r>
        <w:rPr>
          <w:rFonts w:hint="eastAsia"/>
          <w:sz w:val="24"/>
        </w:rPr>
        <w:t>)/I</w:t>
      </w:r>
      <w:r>
        <w:rPr>
          <w:rFonts w:hint="eastAsia"/>
          <w:sz w:val="24"/>
          <w:vertAlign w:val="subscript"/>
        </w:rPr>
        <w:t>lb</w:t>
      </w:r>
      <w:r>
        <w:rPr>
          <w:rFonts w:hint="eastAsia"/>
          <w:sz w:val="24"/>
        </w:rPr>
        <w:t>]×100%</w:t>
      </w:r>
    </w:p>
    <w:p w14:paraId="7CA56409">
      <w:pPr>
        <w:spacing w:line="500" w:lineRule="exact"/>
        <w:ind w:firstLine="480" w:firstLineChars="200"/>
        <w:rPr>
          <w:rFonts w:eastAsia="Times New Roman"/>
          <w:sz w:val="24"/>
        </w:rPr>
      </w:pPr>
      <w:r>
        <w:rPr>
          <w:sz w:val="24"/>
        </w:rPr>
        <w:t>式中：</w:t>
      </w:r>
      <w:r>
        <w:rPr>
          <w:rFonts w:eastAsia="Times New Roman"/>
          <w:position w:val="-10"/>
          <w:sz w:val="24"/>
        </w:rPr>
        <w:drawing>
          <wp:inline distT="0" distB="0" distL="114300" distR="114300">
            <wp:extent cx="161925" cy="222250"/>
            <wp:effectExtent l="0" t="0" r="9525"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92" cstate="print"/>
                    <a:stretch>
                      <a:fillRect/>
                    </a:stretch>
                  </pic:blipFill>
                  <pic:spPr>
                    <a:xfrm>
                      <a:off x="0" y="0"/>
                      <a:ext cx="161925" cy="222250"/>
                    </a:xfrm>
                    <a:prstGeom prst="rect">
                      <a:avLst/>
                    </a:prstGeom>
                    <a:noFill/>
                    <a:ln w="9525">
                      <a:noFill/>
                    </a:ln>
                  </pic:spPr>
                </pic:pic>
              </a:graphicData>
            </a:graphic>
          </wp:inline>
        </w:drawing>
      </w:r>
      <w:r>
        <w:rPr>
          <w:sz w:val="24"/>
        </w:rPr>
        <w:t>—基准地价上调最大幅度</w:t>
      </w:r>
      <w:r>
        <w:rPr>
          <w:rFonts w:hint="eastAsia"/>
          <w:sz w:val="24"/>
        </w:rPr>
        <w:t>；</w:t>
      </w:r>
    </w:p>
    <w:p w14:paraId="43E7423C">
      <w:pPr>
        <w:spacing w:line="500" w:lineRule="exact"/>
        <w:ind w:firstLine="1200" w:firstLineChars="500"/>
        <w:rPr>
          <w:rFonts w:eastAsia="Times New Roman"/>
          <w:sz w:val="24"/>
        </w:rPr>
      </w:pPr>
      <w:r>
        <w:rPr>
          <w:rFonts w:eastAsia="Times New Roman"/>
          <w:position w:val="-10"/>
          <w:sz w:val="24"/>
        </w:rPr>
        <w:drawing>
          <wp:inline distT="0" distB="0" distL="114300" distR="114300">
            <wp:extent cx="186690" cy="222250"/>
            <wp:effectExtent l="0" t="0" r="3810" b="444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93" cstate="print"/>
                    <a:stretch>
                      <a:fillRect/>
                    </a:stretch>
                  </pic:blipFill>
                  <pic:spPr>
                    <a:xfrm>
                      <a:off x="0" y="0"/>
                      <a:ext cx="186690" cy="222250"/>
                    </a:xfrm>
                    <a:prstGeom prst="rect">
                      <a:avLst/>
                    </a:prstGeom>
                    <a:noFill/>
                    <a:ln w="9525">
                      <a:noFill/>
                    </a:ln>
                  </pic:spPr>
                </pic:pic>
              </a:graphicData>
            </a:graphic>
          </wp:inline>
        </w:drawing>
      </w:r>
      <w:r>
        <w:rPr>
          <w:sz w:val="24"/>
        </w:rPr>
        <w:t>—基准地价下调最大幅度</w:t>
      </w:r>
      <w:r>
        <w:rPr>
          <w:rFonts w:hint="eastAsia"/>
          <w:sz w:val="24"/>
        </w:rPr>
        <w:t>；</w:t>
      </w:r>
    </w:p>
    <w:p w14:paraId="4A960D22">
      <w:pPr>
        <w:spacing w:line="500" w:lineRule="exact"/>
        <w:ind w:firstLine="1200" w:firstLineChars="500"/>
        <w:rPr>
          <w:rFonts w:eastAsia="Times New Roman"/>
          <w:sz w:val="24"/>
        </w:rPr>
      </w:pPr>
      <w:r>
        <w:rPr>
          <w:rFonts w:eastAsia="Times New Roman"/>
          <w:position w:val="-12"/>
          <w:sz w:val="24"/>
        </w:rPr>
        <w:drawing>
          <wp:inline distT="0" distB="0" distL="114300" distR="114300">
            <wp:extent cx="193675" cy="228600"/>
            <wp:effectExtent l="0" t="0" r="16510" b="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94" cstate="print"/>
                    <a:stretch>
                      <a:fillRect/>
                    </a:stretch>
                  </pic:blipFill>
                  <pic:spPr>
                    <a:xfrm>
                      <a:off x="0" y="0"/>
                      <a:ext cx="193675" cy="228600"/>
                    </a:xfrm>
                    <a:prstGeom prst="rect">
                      <a:avLst/>
                    </a:prstGeom>
                    <a:noFill/>
                    <a:ln w="9525">
                      <a:noFill/>
                    </a:ln>
                  </pic:spPr>
                </pic:pic>
              </a:graphicData>
            </a:graphic>
          </wp:inline>
        </w:drawing>
      </w:r>
      <w:r>
        <w:rPr>
          <w:sz w:val="24"/>
        </w:rPr>
        <w:t>—基准地价</w:t>
      </w:r>
      <w:r>
        <w:rPr>
          <w:rFonts w:hint="eastAsia"/>
          <w:sz w:val="24"/>
        </w:rPr>
        <w:t>；</w:t>
      </w:r>
    </w:p>
    <w:p w14:paraId="04FC2A0F">
      <w:pPr>
        <w:spacing w:line="500" w:lineRule="exact"/>
        <w:ind w:firstLine="1200" w:firstLineChars="500"/>
        <w:rPr>
          <w:rFonts w:eastAsia="Times New Roman"/>
          <w:sz w:val="24"/>
        </w:rPr>
      </w:pPr>
      <w:r>
        <w:rPr>
          <w:rFonts w:eastAsia="Times New Roman"/>
          <w:position w:val="-12"/>
          <w:sz w:val="24"/>
        </w:rPr>
        <w:drawing>
          <wp:inline distT="0" distB="0" distL="114300" distR="114300">
            <wp:extent cx="220345" cy="228600"/>
            <wp:effectExtent l="0" t="0" r="7620"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95" cstate="print"/>
                    <a:stretch>
                      <a:fillRect/>
                    </a:stretch>
                  </pic:blipFill>
                  <pic:spPr>
                    <a:xfrm>
                      <a:off x="0" y="0"/>
                      <a:ext cx="220345" cy="228600"/>
                    </a:xfrm>
                    <a:prstGeom prst="rect">
                      <a:avLst/>
                    </a:prstGeom>
                    <a:noFill/>
                    <a:ln w="9525">
                      <a:noFill/>
                    </a:ln>
                  </pic:spPr>
                </pic:pic>
              </a:graphicData>
            </a:graphic>
          </wp:inline>
        </w:drawing>
      </w:r>
      <w:r>
        <w:rPr>
          <w:sz w:val="24"/>
        </w:rPr>
        <w:t>—级别或区域正常地价的最高值</w:t>
      </w:r>
      <w:r>
        <w:rPr>
          <w:rFonts w:hint="eastAsia"/>
          <w:sz w:val="24"/>
        </w:rPr>
        <w:t>；</w:t>
      </w:r>
    </w:p>
    <w:p w14:paraId="483B245D">
      <w:pPr>
        <w:spacing w:line="500" w:lineRule="exact"/>
        <w:ind w:left="143" w:leftChars="68" w:firstLine="1080" w:firstLineChars="450"/>
        <w:rPr>
          <w:rFonts w:eastAsia="Times New Roman"/>
          <w:sz w:val="24"/>
        </w:rPr>
      </w:pPr>
      <w:r>
        <w:rPr>
          <w:rFonts w:eastAsia="Times New Roman"/>
          <w:position w:val="-12"/>
          <w:sz w:val="24"/>
        </w:rPr>
        <w:drawing>
          <wp:inline distT="0" distB="0" distL="114300" distR="114300">
            <wp:extent cx="189230" cy="228600"/>
            <wp:effectExtent l="0" t="0" r="1270" b="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96" cstate="print"/>
                    <a:stretch>
                      <a:fillRect/>
                    </a:stretch>
                  </pic:blipFill>
                  <pic:spPr>
                    <a:xfrm>
                      <a:off x="0" y="0"/>
                      <a:ext cx="189230" cy="228600"/>
                    </a:xfrm>
                    <a:prstGeom prst="rect">
                      <a:avLst/>
                    </a:prstGeom>
                    <a:noFill/>
                    <a:ln w="9525">
                      <a:noFill/>
                    </a:ln>
                  </pic:spPr>
                </pic:pic>
              </a:graphicData>
            </a:graphic>
          </wp:inline>
        </w:drawing>
      </w:r>
      <w:r>
        <w:rPr>
          <w:sz w:val="24"/>
        </w:rPr>
        <w:t>—级别或区域正常地价的最低值</w:t>
      </w:r>
      <w:r>
        <w:rPr>
          <w:rFonts w:hint="eastAsia"/>
          <w:sz w:val="24"/>
        </w:rPr>
        <w:t>。</w:t>
      </w:r>
    </w:p>
    <w:p w14:paraId="6F7679AC">
      <w:pPr>
        <w:spacing w:line="500" w:lineRule="exact"/>
        <w:ind w:firstLine="480" w:firstLineChars="200"/>
        <w:rPr>
          <w:sz w:val="24"/>
        </w:rPr>
      </w:pPr>
      <w:r>
        <w:rPr>
          <w:rFonts w:hint="eastAsia"/>
          <w:sz w:val="24"/>
        </w:rPr>
        <w:t>在确定各级地价最高与最低值时，</w:t>
      </w:r>
      <w:r>
        <w:rPr>
          <w:sz w:val="24"/>
        </w:rPr>
        <w:t>在各级</w:t>
      </w:r>
      <w:r>
        <w:rPr>
          <w:rFonts w:hint="eastAsia"/>
          <w:sz w:val="24"/>
        </w:rPr>
        <w:t>分布均匀、价格合理的样点中，</w:t>
      </w:r>
      <w:r>
        <w:rPr>
          <w:sz w:val="24"/>
        </w:rPr>
        <w:t>选定一个最高或最低地价区间，取其平均值作为最高地价</w:t>
      </w:r>
      <w:r>
        <w:rPr>
          <w:rFonts w:hint="eastAsia"/>
          <w:sz w:val="24"/>
        </w:rPr>
        <w:t>。</w:t>
      </w:r>
    </w:p>
    <w:p w14:paraId="76A220AA">
      <w:pPr>
        <w:spacing w:line="500" w:lineRule="exact"/>
        <w:ind w:firstLine="480" w:firstLineChars="200"/>
        <w:rPr>
          <w:sz w:val="24"/>
        </w:rPr>
      </w:pPr>
      <w:r>
        <w:rPr>
          <w:sz w:val="24"/>
        </w:rPr>
        <w:t>对基准地价与最高地价、最低地价之间的均分点，按样点地价计算修正幅度。根据样点地价计算中间结果，按照上述公式得到计算各级别不同用地类型的上、下调幅度</w:t>
      </w:r>
      <w:r>
        <w:rPr>
          <w:rFonts w:hint="eastAsia"/>
          <w:sz w:val="24"/>
        </w:rPr>
        <w:t>。</w:t>
      </w:r>
    </w:p>
    <w:p w14:paraId="5D536ACC">
      <w:pPr>
        <w:spacing w:line="500" w:lineRule="exact"/>
        <w:ind w:firstLine="480" w:firstLineChars="200"/>
        <w:rPr>
          <w:sz w:val="24"/>
        </w:rPr>
      </w:pPr>
      <w:r>
        <w:rPr>
          <w:sz w:val="24"/>
        </w:rPr>
        <w:t>3）影响地价的各因素修正值的确定</w:t>
      </w:r>
    </w:p>
    <w:p w14:paraId="51C7B94D">
      <w:pPr>
        <w:spacing w:line="500" w:lineRule="exact"/>
        <w:ind w:firstLine="480" w:firstLineChars="200"/>
        <w:rPr>
          <w:sz w:val="24"/>
        </w:rPr>
      </w:pPr>
      <w:r>
        <w:rPr>
          <w:rFonts w:hint="eastAsia"/>
          <w:sz w:val="24"/>
        </w:rPr>
        <w:t>根据确定的影响用地价格的因素及其权重值，采用下式计算各因素的修正值：</w:t>
      </w:r>
    </w:p>
    <w:p w14:paraId="08740BBF">
      <w:pPr>
        <w:spacing w:line="500" w:lineRule="exact"/>
        <w:ind w:left="525" w:leftChars="250" w:firstLine="480" w:firstLineChars="200"/>
        <w:jc w:val="center"/>
        <w:rPr>
          <w:sz w:val="24"/>
        </w:rPr>
      </w:pPr>
      <w:r>
        <w:rPr>
          <w:rFonts w:hint="eastAsia"/>
          <w:sz w:val="24"/>
        </w:rPr>
        <w:t>F</w:t>
      </w:r>
      <w:r>
        <w:rPr>
          <w:rFonts w:hint="eastAsia"/>
          <w:sz w:val="24"/>
          <w:vertAlign w:val="subscript"/>
        </w:rPr>
        <w:t>li</w:t>
      </w:r>
      <w:r>
        <w:rPr>
          <w:rFonts w:hint="eastAsia"/>
          <w:sz w:val="24"/>
        </w:rPr>
        <w:t>=F</w:t>
      </w:r>
      <w:r>
        <w:rPr>
          <w:rFonts w:hint="eastAsia"/>
          <w:sz w:val="24"/>
          <w:vertAlign w:val="subscript"/>
        </w:rPr>
        <w:t>1</w:t>
      </w:r>
      <w:r>
        <w:rPr>
          <w:rFonts w:hint="eastAsia"/>
          <w:sz w:val="24"/>
        </w:rPr>
        <w:t>×W</w:t>
      </w:r>
      <w:r>
        <w:rPr>
          <w:rFonts w:hint="eastAsia"/>
          <w:sz w:val="24"/>
          <w:vertAlign w:val="subscript"/>
        </w:rPr>
        <w:t>i</w:t>
      </w:r>
    </w:p>
    <w:p w14:paraId="7D30EBD9">
      <w:pPr>
        <w:spacing w:line="500" w:lineRule="exact"/>
        <w:ind w:left="525" w:leftChars="250" w:firstLine="480" w:firstLineChars="200"/>
        <w:jc w:val="center"/>
        <w:rPr>
          <w:sz w:val="24"/>
        </w:rPr>
      </w:pPr>
      <w:r>
        <w:rPr>
          <w:rFonts w:hint="eastAsia"/>
          <w:sz w:val="24"/>
        </w:rPr>
        <w:t>F</w:t>
      </w:r>
      <w:r>
        <w:rPr>
          <w:rFonts w:hint="eastAsia"/>
          <w:sz w:val="24"/>
          <w:vertAlign w:val="subscript"/>
        </w:rPr>
        <w:t>2i</w:t>
      </w:r>
      <w:r>
        <w:rPr>
          <w:rFonts w:hint="eastAsia"/>
          <w:sz w:val="24"/>
        </w:rPr>
        <w:t>=F</w:t>
      </w:r>
      <w:r>
        <w:rPr>
          <w:rFonts w:hint="eastAsia"/>
          <w:sz w:val="24"/>
          <w:vertAlign w:val="subscript"/>
        </w:rPr>
        <w:t>2</w:t>
      </w:r>
      <w:r>
        <w:rPr>
          <w:rFonts w:hint="eastAsia"/>
          <w:sz w:val="24"/>
        </w:rPr>
        <w:t>×W</w:t>
      </w:r>
      <w:r>
        <w:rPr>
          <w:rFonts w:hint="eastAsia"/>
          <w:sz w:val="24"/>
          <w:vertAlign w:val="subscript"/>
        </w:rPr>
        <w:t>i</w:t>
      </w:r>
    </w:p>
    <w:p w14:paraId="4C49515B">
      <w:pPr>
        <w:spacing w:line="500" w:lineRule="exact"/>
        <w:ind w:firstLine="420" w:firstLineChars="200"/>
        <w:rPr>
          <w:sz w:val="24"/>
        </w:rPr>
      </w:pPr>
      <w:r>
        <w:t>式中：</w:t>
      </w:r>
      <w:r>
        <w:rPr>
          <w:rFonts w:hint="eastAsia"/>
          <w:sz w:val="24"/>
        </w:rPr>
        <w:t>F</w:t>
      </w:r>
      <w:r>
        <w:rPr>
          <w:rFonts w:hint="eastAsia"/>
          <w:sz w:val="24"/>
          <w:vertAlign w:val="subscript"/>
        </w:rPr>
        <w:t>1i</w:t>
      </w:r>
      <w:r>
        <w:rPr>
          <w:sz w:val="24"/>
        </w:rPr>
        <w:t>—某一因素的上调最大幅度</w:t>
      </w:r>
      <w:r>
        <w:rPr>
          <w:rFonts w:hint="eastAsia"/>
          <w:sz w:val="24"/>
        </w:rPr>
        <w:t>；</w:t>
      </w:r>
    </w:p>
    <w:p w14:paraId="0EED5CE7">
      <w:pPr>
        <w:spacing w:line="500" w:lineRule="exact"/>
        <w:ind w:firstLine="1080" w:firstLineChars="450"/>
        <w:rPr>
          <w:sz w:val="24"/>
        </w:rPr>
      </w:pPr>
      <w:r>
        <w:rPr>
          <w:rFonts w:hint="eastAsia"/>
          <w:sz w:val="24"/>
        </w:rPr>
        <w:t>F</w:t>
      </w:r>
      <w:r>
        <w:rPr>
          <w:rFonts w:hint="eastAsia"/>
          <w:sz w:val="24"/>
          <w:vertAlign w:val="subscript"/>
        </w:rPr>
        <w:t>2i</w:t>
      </w:r>
      <w:r>
        <w:rPr>
          <w:sz w:val="24"/>
        </w:rPr>
        <w:t>—某一因素的下调最大幅度</w:t>
      </w:r>
      <w:r>
        <w:rPr>
          <w:rFonts w:hint="eastAsia"/>
          <w:sz w:val="24"/>
        </w:rPr>
        <w:t>；</w:t>
      </w:r>
    </w:p>
    <w:p w14:paraId="4F1EF7B5">
      <w:pPr>
        <w:spacing w:line="500" w:lineRule="exact"/>
        <w:ind w:firstLine="1080" w:firstLineChars="450"/>
        <w:rPr>
          <w:rFonts w:eastAsia="Times New Roman"/>
          <w:sz w:val="24"/>
        </w:rPr>
      </w:pPr>
      <w:r>
        <w:rPr>
          <w:rFonts w:hint="eastAsia"/>
          <w:sz w:val="24"/>
        </w:rPr>
        <w:t>W</w:t>
      </w:r>
      <w:r>
        <w:rPr>
          <w:rFonts w:hint="eastAsia"/>
          <w:sz w:val="24"/>
          <w:vertAlign w:val="subscript"/>
        </w:rPr>
        <w:t>i</w:t>
      </w:r>
      <w:r>
        <w:rPr>
          <w:sz w:val="24"/>
        </w:rPr>
        <w:t>—某一因素对宗地地价的影响权重</w:t>
      </w:r>
      <w:r>
        <w:rPr>
          <w:rFonts w:hint="eastAsia"/>
          <w:sz w:val="24"/>
        </w:rPr>
        <w:t>。</w:t>
      </w:r>
    </w:p>
    <w:p w14:paraId="180C9B2F">
      <w:pPr>
        <w:spacing w:line="360" w:lineRule="auto"/>
        <w:ind w:firstLine="480" w:firstLineChars="200"/>
        <w:rPr>
          <w:sz w:val="24"/>
        </w:rPr>
      </w:pPr>
      <w:r>
        <w:rPr>
          <w:sz w:val="24"/>
        </w:rPr>
        <w:t>以基准地价为一般水平，其修正系数为零。在一般水平与上限价格之间，内插条件较优的修正系数为F</w:t>
      </w:r>
      <w:r>
        <w:rPr>
          <w:sz w:val="24"/>
          <w:vertAlign w:val="subscript"/>
        </w:rPr>
        <w:t>1i</w:t>
      </w:r>
      <w:r>
        <w:rPr>
          <w:sz w:val="24"/>
        </w:rPr>
        <w:t>/2，在一般水平与下限价格之间，内插条件较劣的修正系数为F</w:t>
      </w:r>
      <w:r>
        <w:rPr>
          <w:sz w:val="24"/>
          <w:vertAlign w:val="subscript"/>
        </w:rPr>
        <w:t>2i</w:t>
      </w:r>
      <w:r>
        <w:rPr>
          <w:sz w:val="24"/>
        </w:rPr>
        <w:t>/2。</w:t>
      </w:r>
    </w:p>
    <w:p w14:paraId="1915C0BB">
      <w:pPr>
        <w:spacing w:line="360" w:lineRule="auto"/>
        <w:ind w:firstLine="480" w:firstLineChars="200"/>
        <w:rPr>
          <w:sz w:val="24"/>
        </w:rPr>
      </w:pPr>
      <w:r>
        <w:rPr>
          <w:sz w:val="24"/>
        </w:rPr>
        <w:t>4）</w:t>
      </w:r>
      <w:r>
        <w:rPr>
          <w:rFonts w:hint="eastAsia"/>
          <w:sz w:val="24"/>
        </w:rPr>
        <w:t>因素修正系数及指标说明表的编制</w:t>
      </w:r>
    </w:p>
    <w:p w14:paraId="3C9DB77B">
      <w:pPr>
        <w:spacing w:line="500" w:lineRule="exact"/>
        <w:ind w:firstLine="480" w:firstLineChars="200"/>
        <w:rPr>
          <w:sz w:val="24"/>
        </w:rPr>
      </w:pPr>
      <w:r>
        <w:rPr>
          <w:rFonts w:hint="eastAsia"/>
          <w:sz w:val="24"/>
        </w:rPr>
        <w:t>根据基准低价修正幅度的计算结果，在按上述公式计算因素修正幅度值的基础上，</w:t>
      </w:r>
      <w:r>
        <w:rPr>
          <w:sz w:val="24"/>
        </w:rPr>
        <w:t>按优、较优、一般、较劣、劣</w:t>
      </w:r>
      <w:r>
        <w:rPr>
          <w:rFonts w:hint="eastAsia"/>
          <w:sz w:val="24"/>
        </w:rPr>
        <w:t>等5个层次设定修正幅度值。</w:t>
      </w:r>
    </w:p>
    <w:p w14:paraId="1ADFA882">
      <w:pPr>
        <w:pStyle w:val="122"/>
        <w:spacing w:line="500" w:lineRule="exact"/>
        <w:ind w:firstLine="480"/>
        <w:rPr>
          <w:sz w:val="24"/>
        </w:rPr>
      </w:pPr>
      <w:r>
        <w:rPr>
          <w:sz w:val="24"/>
        </w:rPr>
        <w:t>在此基础上</w:t>
      </w:r>
      <w:r>
        <w:rPr>
          <w:rFonts w:hint="eastAsia"/>
          <w:sz w:val="24"/>
        </w:rPr>
        <w:t>，进一步编制影响因素修正系数条件指标表。因素修正系数指标说明表是对各层次的修正系数对应的低价影响因素状态条件所做的描述</w:t>
      </w:r>
      <w:r>
        <w:rPr>
          <w:sz w:val="24"/>
        </w:rPr>
        <w:t>。</w:t>
      </w:r>
      <w:r>
        <w:rPr>
          <w:rFonts w:hint="eastAsia"/>
          <w:sz w:val="24"/>
        </w:rPr>
        <w:t>通常以在一定区域或土地级别范围内地价影响因素的最佳状态指标、平均状态指标、最差状态指标分别对应着优、一般、劣等层次的修正系数。利用土地定级中各影响因素的评价结果，在进行统计分析的基础上，编制影响因素修正系数条件指标表。</w:t>
      </w:r>
    </w:p>
    <w:p w14:paraId="56CF9E96">
      <w:pPr>
        <w:pStyle w:val="180"/>
        <w:ind w:firstLine="480"/>
      </w:pPr>
      <w:r>
        <w:t>（2）个别因素修正系数编制</w:t>
      </w:r>
    </w:p>
    <w:p w14:paraId="47A490E9">
      <w:pPr>
        <w:spacing w:line="500" w:lineRule="exact"/>
        <w:ind w:firstLine="480" w:firstLineChars="200"/>
        <w:rPr>
          <w:sz w:val="24"/>
        </w:rPr>
      </w:pPr>
      <w:r>
        <w:rPr>
          <w:sz w:val="24"/>
        </w:rPr>
        <w:t>个别条件修正系数指标的编制主要是基于调查、数理统计和比较分析基础之上，对各因素不同条件下的地价水平进行统计，并进行规律性分析，确定因素各修正系数对应的条件指标。包括</w:t>
      </w:r>
      <w:r>
        <w:rPr>
          <w:rFonts w:hint="eastAsia"/>
          <w:sz w:val="24"/>
        </w:rPr>
        <w:t>国有农用地利用影响因素修正</w:t>
      </w:r>
      <w:r>
        <w:rPr>
          <w:sz w:val="24"/>
        </w:rPr>
        <w:t>、年期修正、交易</w:t>
      </w:r>
      <w:r>
        <w:rPr>
          <w:rFonts w:hint="eastAsia"/>
          <w:sz w:val="24"/>
        </w:rPr>
        <w:t>期日</w:t>
      </w:r>
      <w:r>
        <w:rPr>
          <w:sz w:val="24"/>
        </w:rPr>
        <w:t>修正等。各种修正系数计算方法如下：</w:t>
      </w:r>
    </w:p>
    <w:p w14:paraId="7324F9D7">
      <w:pPr>
        <w:spacing w:line="360" w:lineRule="auto"/>
        <w:ind w:firstLine="480" w:firstLineChars="200"/>
        <w:rPr>
          <w:sz w:val="24"/>
        </w:rPr>
      </w:pPr>
      <w:r>
        <w:rPr>
          <w:rFonts w:hint="eastAsia"/>
          <w:sz w:val="24"/>
        </w:rPr>
        <w:t>1）国有农用地利用影响因素修正</w:t>
      </w:r>
    </w:p>
    <w:p w14:paraId="44E498A6">
      <w:pPr>
        <w:spacing w:line="360" w:lineRule="auto"/>
        <w:ind w:firstLine="480" w:firstLineChars="200"/>
        <w:rPr>
          <w:rFonts w:ascii="宋体" w:hAnsi="宋体" w:cs="宋体"/>
          <w:sz w:val="24"/>
          <w:szCs w:val="28"/>
        </w:rPr>
      </w:pPr>
      <w:r>
        <w:rPr>
          <w:rFonts w:hint="eastAsia" w:ascii="宋体" w:hAnsi="宋体" w:cs="宋体"/>
          <w:sz w:val="24"/>
          <w:szCs w:val="28"/>
        </w:rPr>
        <w:t>农田水利设施、地块形状和地块面积对国有农用地利用的影响较大，完善的农田水利设施、规则的地块形状、合适的地块面积有利于保证充足的灌溉水源，提高农地利用的机械化水平，因此需要对农田水利设施、地块形状和地块面积进行个别因素修正。</w:t>
      </w:r>
    </w:p>
    <w:p w14:paraId="25BD1E66">
      <w:pPr>
        <w:ind w:firstLine="480" w:firstLineChars="200"/>
        <w:rPr>
          <w:sz w:val="24"/>
        </w:rPr>
      </w:pPr>
      <w:r>
        <w:rPr>
          <w:rFonts w:hint="eastAsia"/>
          <w:sz w:val="24"/>
        </w:rPr>
        <w:t>2</w:t>
      </w:r>
      <w:r>
        <w:rPr>
          <w:sz w:val="24"/>
        </w:rPr>
        <w:t>）年期修正系数编制</w:t>
      </w:r>
    </w:p>
    <w:p w14:paraId="796E0F98">
      <w:pPr>
        <w:spacing w:line="500" w:lineRule="exact"/>
        <w:ind w:firstLine="480" w:firstLineChars="200"/>
        <w:rPr>
          <w:sz w:val="24"/>
        </w:rPr>
      </w:pPr>
      <w:r>
        <w:rPr>
          <w:sz w:val="24"/>
        </w:rPr>
        <w:t>年期修正系数是依据如下公式计算所得：</w:t>
      </w:r>
    </w:p>
    <w:p w14:paraId="31F16332">
      <w:pPr>
        <w:spacing w:line="500" w:lineRule="exact"/>
        <w:ind w:firstLine="480" w:firstLineChars="200"/>
        <w:jc w:val="center"/>
        <w:rPr>
          <w:sz w:val="24"/>
        </w:rPr>
      </w:pPr>
      <w:r>
        <w:rPr>
          <w:rFonts w:hint="eastAsia"/>
          <w:sz w:val="24"/>
        </w:rPr>
        <w:t>Y=[1-(1/1+R)</w:t>
      </w:r>
      <w:r>
        <w:rPr>
          <w:rFonts w:hint="eastAsia"/>
          <w:sz w:val="24"/>
          <w:vertAlign w:val="superscript"/>
        </w:rPr>
        <w:t>N</w:t>
      </w:r>
      <w:r>
        <w:rPr>
          <w:rFonts w:hint="eastAsia"/>
          <w:sz w:val="24"/>
        </w:rPr>
        <w:t>]/ [1-(1/1+R)</w:t>
      </w:r>
      <w:r>
        <w:rPr>
          <w:rFonts w:hint="eastAsia"/>
          <w:sz w:val="24"/>
          <w:vertAlign w:val="superscript"/>
        </w:rPr>
        <w:t>M</w:t>
      </w:r>
      <w:r>
        <w:rPr>
          <w:rFonts w:hint="eastAsia"/>
          <w:sz w:val="24"/>
        </w:rPr>
        <w:t>]</w:t>
      </w:r>
    </w:p>
    <w:p w14:paraId="67E78869">
      <w:pPr>
        <w:spacing w:line="500" w:lineRule="exact"/>
        <w:ind w:firstLine="480" w:firstLineChars="200"/>
        <w:rPr>
          <w:sz w:val="24"/>
        </w:rPr>
      </w:pPr>
      <w:r>
        <w:rPr>
          <w:sz w:val="24"/>
        </w:rPr>
        <w:t>式中：</w:t>
      </w:r>
      <w:r>
        <w:rPr>
          <w:rFonts w:hint="eastAsia"/>
          <w:i/>
          <w:sz w:val="24"/>
        </w:rPr>
        <w:t>Y</w:t>
      </w:r>
      <w:r>
        <w:rPr>
          <w:sz w:val="24"/>
        </w:rPr>
        <w:t>—使用年期修正系数</w:t>
      </w:r>
      <w:r>
        <w:rPr>
          <w:rFonts w:hint="eastAsia"/>
          <w:sz w:val="24"/>
        </w:rPr>
        <w:t>；</w:t>
      </w:r>
    </w:p>
    <w:p w14:paraId="70BCA70D">
      <w:pPr>
        <w:spacing w:line="500" w:lineRule="exact"/>
        <w:ind w:left="840" w:leftChars="400" w:firstLine="480" w:firstLineChars="200"/>
        <w:rPr>
          <w:sz w:val="24"/>
        </w:rPr>
      </w:pPr>
      <w:r>
        <w:rPr>
          <w:rFonts w:hint="eastAsia"/>
          <w:i/>
          <w:sz w:val="24"/>
        </w:rPr>
        <w:t>R</w:t>
      </w:r>
      <w:r>
        <w:rPr>
          <w:sz w:val="24"/>
        </w:rPr>
        <w:t>— 土地还原利率</w:t>
      </w:r>
      <w:r>
        <w:rPr>
          <w:rFonts w:hint="eastAsia"/>
          <w:sz w:val="24"/>
        </w:rPr>
        <w:t>；</w:t>
      </w:r>
    </w:p>
    <w:p w14:paraId="73787928">
      <w:pPr>
        <w:spacing w:line="500" w:lineRule="exact"/>
        <w:ind w:left="840" w:leftChars="400" w:firstLine="480" w:firstLineChars="200"/>
        <w:rPr>
          <w:sz w:val="24"/>
        </w:rPr>
      </w:pPr>
      <w:r>
        <w:rPr>
          <w:rFonts w:hint="eastAsia"/>
          <w:i/>
          <w:sz w:val="24"/>
        </w:rPr>
        <w:t>N</w:t>
      </w:r>
      <w:r>
        <w:rPr>
          <w:sz w:val="24"/>
        </w:rPr>
        <w:t>—出让年期</w:t>
      </w:r>
      <w:r>
        <w:rPr>
          <w:rFonts w:hint="eastAsia"/>
          <w:sz w:val="24"/>
        </w:rPr>
        <w:t>；</w:t>
      </w:r>
    </w:p>
    <w:p w14:paraId="5CC9B6D9">
      <w:pPr>
        <w:spacing w:line="500" w:lineRule="exact"/>
        <w:ind w:left="840" w:leftChars="400" w:firstLine="480" w:firstLineChars="200"/>
        <w:rPr>
          <w:sz w:val="24"/>
        </w:rPr>
      </w:pPr>
      <w:r>
        <w:rPr>
          <w:rFonts w:hint="eastAsia"/>
          <w:i/>
          <w:sz w:val="24"/>
        </w:rPr>
        <w:t>M</w:t>
      </w:r>
      <w:r>
        <w:rPr>
          <w:sz w:val="24"/>
        </w:rPr>
        <w:t>—土地使用权法定最高出让年限</w:t>
      </w:r>
      <w:r>
        <w:rPr>
          <w:rFonts w:hint="eastAsia"/>
          <w:sz w:val="24"/>
        </w:rPr>
        <w:t>。</w:t>
      </w:r>
    </w:p>
    <w:p w14:paraId="2D4A36B7">
      <w:pPr>
        <w:spacing w:line="500" w:lineRule="exact"/>
        <w:ind w:firstLine="480" w:firstLineChars="200"/>
        <w:rPr>
          <w:sz w:val="24"/>
        </w:rPr>
      </w:pPr>
      <w:r>
        <w:rPr>
          <w:rFonts w:hint="eastAsia"/>
          <w:sz w:val="24"/>
        </w:rPr>
        <w:t>3</w:t>
      </w:r>
      <w:r>
        <w:rPr>
          <w:sz w:val="24"/>
        </w:rPr>
        <w:t>）交易</w:t>
      </w:r>
      <w:r>
        <w:rPr>
          <w:rFonts w:hint="eastAsia"/>
          <w:sz w:val="24"/>
        </w:rPr>
        <w:t>期日</w:t>
      </w:r>
      <w:r>
        <w:rPr>
          <w:sz w:val="24"/>
        </w:rPr>
        <w:t>修正系数</w:t>
      </w:r>
    </w:p>
    <w:p w14:paraId="168280C5">
      <w:pPr>
        <w:spacing w:line="500" w:lineRule="exact"/>
        <w:ind w:firstLine="480" w:firstLineChars="200"/>
        <w:rPr>
          <w:sz w:val="24"/>
        </w:rPr>
      </w:pPr>
      <w:r>
        <w:rPr>
          <w:sz w:val="24"/>
        </w:rPr>
        <w:t>交易</w:t>
      </w:r>
      <w:r>
        <w:rPr>
          <w:rFonts w:hint="eastAsia"/>
          <w:sz w:val="24"/>
        </w:rPr>
        <w:t>期日</w:t>
      </w:r>
      <w:r>
        <w:rPr>
          <w:sz w:val="24"/>
        </w:rPr>
        <w:t>修正按各时间节点土地交易价格综合确定，开发程度修正根据鄂州市基础配套的相关建筑工程造价来确定。</w:t>
      </w:r>
    </w:p>
    <w:p w14:paraId="518C754B">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242" w:name="_Toc47384649"/>
      <w:r>
        <w:rPr>
          <w:rFonts w:hint="eastAsia" w:ascii="宋体" w:hAnsi="宋体"/>
          <w:bCs/>
          <w:kern w:val="2"/>
          <w:szCs w:val="28"/>
        </w:rPr>
        <w:t>5</w:t>
      </w:r>
      <w:r>
        <w:rPr>
          <w:rFonts w:ascii="宋体" w:hAnsi="宋体"/>
          <w:bCs/>
          <w:kern w:val="2"/>
          <w:szCs w:val="28"/>
        </w:rPr>
        <w:t xml:space="preserve">.2 </w:t>
      </w:r>
      <w:r>
        <w:rPr>
          <w:rFonts w:hint="eastAsia" w:ascii="宋体" w:hAnsi="宋体"/>
          <w:bCs/>
          <w:kern w:val="2"/>
          <w:szCs w:val="28"/>
        </w:rPr>
        <w:t>区域因素修正</w:t>
      </w:r>
      <w:bookmarkEnd w:id="242"/>
    </w:p>
    <w:p w14:paraId="1CEE93BD">
      <w:pPr>
        <w:pStyle w:val="4"/>
        <w:widowControl w:val="0"/>
        <w:tabs>
          <w:tab w:val="left" w:pos="720"/>
        </w:tabs>
        <w:spacing w:before="120" w:after="120" w:line="500" w:lineRule="exact"/>
        <w:ind w:left="826" w:hanging="826"/>
        <w:jc w:val="both"/>
        <w:rPr>
          <w:rFonts w:ascii="宋体" w:hAnsi="宋体"/>
          <w:sz w:val="24"/>
          <w:szCs w:val="24"/>
        </w:rPr>
      </w:pPr>
      <w:bookmarkStart w:id="243" w:name="_Toc535399961"/>
      <w:bookmarkStart w:id="244" w:name="_Toc47384650"/>
      <w:r>
        <w:rPr>
          <w:rFonts w:hint="eastAsia" w:ascii="宋体" w:hAnsi="宋体"/>
          <w:sz w:val="24"/>
          <w:szCs w:val="24"/>
        </w:rPr>
        <w:t>5</w:t>
      </w:r>
      <w:r>
        <w:rPr>
          <w:rFonts w:ascii="宋体" w:hAnsi="宋体"/>
          <w:sz w:val="24"/>
          <w:szCs w:val="24"/>
        </w:rPr>
        <w:t xml:space="preserve">.2.1 </w:t>
      </w:r>
      <w:r>
        <w:rPr>
          <w:rFonts w:hint="eastAsia" w:ascii="宋体" w:hAnsi="宋体"/>
          <w:sz w:val="24"/>
          <w:szCs w:val="24"/>
        </w:rPr>
        <w:t>选择宗地地价影响因素因子并确定权重</w:t>
      </w:r>
      <w:bookmarkEnd w:id="243"/>
      <w:bookmarkEnd w:id="244"/>
    </w:p>
    <w:p w14:paraId="2D21DC64">
      <w:pPr>
        <w:spacing w:line="500" w:lineRule="exact"/>
        <w:ind w:firstLine="480" w:firstLineChars="200"/>
        <w:rPr>
          <w:sz w:val="24"/>
        </w:rPr>
      </w:pPr>
      <w:r>
        <w:rPr>
          <w:rFonts w:hint="eastAsia"/>
          <w:sz w:val="24"/>
        </w:rPr>
        <w:t>以国有农用地定级因素因子体系为基础，结合宗地评估实际需要，选择区域修正因素因子，并按各定级因素对地价的影响程度确定各因素因子权重，本次修正采取定级因素的权重，各因素因子权重见表5-1。</w:t>
      </w:r>
    </w:p>
    <w:p w14:paraId="3B142BE1">
      <w:pPr>
        <w:ind w:firstLine="422"/>
        <w:jc w:val="center"/>
        <w:rPr>
          <w:b/>
          <w:szCs w:val="21"/>
        </w:rPr>
      </w:pPr>
      <w:r>
        <w:rPr>
          <w:rFonts w:hint="eastAsia"/>
          <w:b/>
          <w:szCs w:val="21"/>
        </w:rPr>
        <w:t>表5-1各因素因子权重表</w:t>
      </w:r>
    </w:p>
    <w:tbl>
      <w:tblPr>
        <w:tblStyle w:val="40"/>
        <w:tblpPr w:leftFromText="180" w:rightFromText="180" w:vertAnchor="text" w:horzAnchor="page" w:tblpX="2006" w:tblpY="156"/>
        <w:tblOverlap w:val="never"/>
        <w:tblW w:w="8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742"/>
        <w:gridCol w:w="2316"/>
        <w:gridCol w:w="2316"/>
        <w:gridCol w:w="1411"/>
      </w:tblGrid>
      <w:tr w14:paraId="1576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1529" w:type="dxa"/>
            <w:vAlign w:val="center"/>
          </w:tcPr>
          <w:p w14:paraId="2AE8A887">
            <w:pPr>
              <w:jc w:val="center"/>
              <w:rPr>
                <w:szCs w:val="21"/>
              </w:rPr>
            </w:pPr>
            <w:r>
              <w:rPr>
                <w:rFonts w:hint="eastAsia"/>
                <w:szCs w:val="21"/>
              </w:rPr>
              <w:t>定级因素</w:t>
            </w:r>
          </w:p>
        </w:tc>
        <w:tc>
          <w:tcPr>
            <w:tcW w:w="742" w:type="dxa"/>
            <w:vAlign w:val="center"/>
          </w:tcPr>
          <w:p w14:paraId="72717EDA">
            <w:pPr>
              <w:jc w:val="center"/>
              <w:rPr>
                <w:szCs w:val="21"/>
              </w:rPr>
            </w:pPr>
            <w:r>
              <w:rPr>
                <w:rFonts w:hint="eastAsia"/>
                <w:szCs w:val="21"/>
              </w:rPr>
              <w:t>权重</w:t>
            </w:r>
          </w:p>
        </w:tc>
        <w:tc>
          <w:tcPr>
            <w:tcW w:w="2316" w:type="dxa"/>
            <w:vAlign w:val="center"/>
          </w:tcPr>
          <w:p w14:paraId="1E2E40A8">
            <w:pPr>
              <w:jc w:val="center"/>
              <w:rPr>
                <w:szCs w:val="21"/>
              </w:rPr>
            </w:pPr>
            <w:r>
              <w:rPr>
                <w:rFonts w:hint="eastAsia"/>
                <w:szCs w:val="21"/>
              </w:rPr>
              <w:t>二级因素</w:t>
            </w:r>
          </w:p>
        </w:tc>
        <w:tc>
          <w:tcPr>
            <w:tcW w:w="2316" w:type="dxa"/>
            <w:vAlign w:val="center"/>
          </w:tcPr>
          <w:p w14:paraId="14DD176B">
            <w:pPr>
              <w:jc w:val="center"/>
              <w:rPr>
                <w:szCs w:val="21"/>
              </w:rPr>
            </w:pPr>
            <w:r>
              <w:rPr>
                <w:rFonts w:hint="eastAsia"/>
                <w:szCs w:val="21"/>
              </w:rPr>
              <w:t>定级因子</w:t>
            </w:r>
          </w:p>
        </w:tc>
        <w:tc>
          <w:tcPr>
            <w:tcW w:w="1411" w:type="dxa"/>
            <w:vAlign w:val="center"/>
          </w:tcPr>
          <w:p w14:paraId="00DA40CD">
            <w:pPr>
              <w:jc w:val="center"/>
              <w:rPr>
                <w:szCs w:val="21"/>
              </w:rPr>
            </w:pPr>
            <w:r>
              <w:rPr>
                <w:rFonts w:hint="eastAsia"/>
                <w:szCs w:val="21"/>
              </w:rPr>
              <w:t>权重</w:t>
            </w:r>
          </w:p>
        </w:tc>
      </w:tr>
      <w:tr w14:paraId="2741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trPr>
        <w:tc>
          <w:tcPr>
            <w:tcW w:w="1529" w:type="dxa"/>
            <w:vMerge w:val="restart"/>
            <w:vAlign w:val="center"/>
          </w:tcPr>
          <w:p w14:paraId="011165A1">
            <w:pPr>
              <w:jc w:val="center"/>
              <w:rPr>
                <w:szCs w:val="21"/>
              </w:rPr>
            </w:pPr>
            <w:r>
              <w:rPr>
                <w:rFonts w:hint="eastAsia"/>
                <w:szCs w:val="21"/>
              </w:rPr>
              <w:t>自然因素</w:t>
            </w:r>
          </w:p>
        </w:tc>
        <w:tc>
          <w:tcPr>
            <w:tcW w:w="742" w:type="dxa"/>
            <w:vMerge w:val="restart"/>
            <w:vAlign w:val="center"/>
          </w:tcPr>
          <w:p w14:paraId="1A614994">
            <w:pPr>
              <w:jc w:val="center"/>
              <w:rPr>
                <w:szCs w:val="21"/>
              </w:rPr>
            </w:pPr>
            <w:r>
              <w:rPr>
                <w:rFonts w:hint="eastAsia"/>
                <w:szCs w:val="21"/>
              </w:rPr>
              <w:t>0.6</w:t>
            </w:r>
          </w:p>
        </w:tc>
        <w:tc>
          <w:tcPr>
            <w:tcW w:w="2316" w:type="dxa"/>
            <w:vAlign w:val="center"/>
          </w:tcPr>
          <w:p w14:paraId="1BCA8665">
            <w:pPr>
              <w:jc w:val="center"/>
              <w:rPr>
                <w:szCs w:val="21"/>
              </w:rPr>
            </w:pPr>
            <w:r>
              <w:rPr>
                <w:rFonts w:hint="eastAsia"/>
                <w:szCs w:val="21"/>
              </w:rPr>
              <w:t>地形条件</w:t>
            </w:r>
          </w:p>
        </w:tc>
        <w:tc>
          <w:tcPr>
            <w:tcW w:w="2316" w:type="dxa"/>
            <w:vAlign w:val="center"/>
          </w:tcPr>
          <w:p w14:paraId="27035124">
            <w:pPr>
              <w:jc w:val="center"/>
              <w:rPr>
                <w:szCs w:val="21"/>
              </w:rPr>
            </w:pPr>
            <w:r>
              <w:rPr>
                <w:rFonts w:hint="eastAsia"/>
                <w:szCs w:val="21"/>
              </w:rPr>
              <w:t>海拔高度</w:t>
            </w:r>
          </w:p>
        </w:tc>
        <w:tc>
          <w:tcPr>
            <w:tcW w:w="1411" w:type="dxa"/>
            <w:vAlign w:val="center"/>
          </w:tcPr>
          <w:p w14:paraId="24000E73">
            <w:pPr>
              <w:jc w:val="center"/>
              <w:rPr>
                <w:szCs w:val="21"/>
              </w:rPr>
            </w:pPr>
            <w:r>
              <w:rPr>
                <w:rFonts w:hint="eastAsia"/>
                <w:szCs w:val="21"/>
              </w:rPr>
              <w:t>0.0500</w:t>
            </w:r>
          </w:p>
        </w:tc>
      </w:tr>
      <w:tr w14:paraId="0BB5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529" w:type="dxa"/>
            <w:vMerge w:val="continue"/>
            <w:vAlign w:val="center"/>
          </w:tcPr>
          <w:p w14:paraId="2BE482C0">
            <w:pPr>
              <w:jc w:val="center"/>
              <w:rPr>
                <w:szCs w:val="21"/>
              </w:rPr>
            </w:pPr>
          </w:p>
        </w:tc>
        <w:tc>
          <w:tcPr>
            <w:tcW w:w="742" w:type="dxa"/>
            <w:vMerge w:val="continue"/>
            <w:vAlign w:val="center"/>
          </w:tcPr>
          <w:p w14:paraId="38898776">
            <w:pPr>
              <w:jc w:val="center"/>
              <w:rPr>
                <w:szCs w:val="21"/>
              </w:rPr>
            </w:pPr>
          </w:p>
        </w:tc>
        <w:tc>
          <w:tcPr>
            <w:tcW w:w="2316" w:type="dxa"/>
            <w:vMerge w:val="restart"/>
            <w:vAlign w:val="center"/>
          </w:tcPr>
          <w:p w14:paraId="0C735DB1">
            <w:pPr>
              <w:jc w:val="center"/>
              <w:rPr>
                <w:szCs w:val="21"/>
              </w:rPr>
            </w:pPr>
            <w:r>
              <w:rPr>
                <w:rFonts w:hint="eastAsia"/>
                <w:szCs w:val="21"/>
              </w:rPr>
              <w:t>土壤条件</w:t>
            </w:r>
          </w:p>
        </w:tc>
        <w:tc>
          <w:tcPr>
            <w:tcW w:w="2316" w:type="dxa"/>
            <w:vAlign w:val="center"/>
          </w:tcPr>
          <w:p w14:paraId="1DD4C03D">
            <w:pPr>
              <w:jc w:val="center"/>
              <w:rPr>
                <w:szCs w:val="21"/>
              </w:rPr>
            </w:pPr>
            <w:r>
              <w:rPr>
                <w:rFonts w:hint="eastAsia"/>
                <w:szCs w:val="21"/>
              </w:rPr>
              <w:t>土壤有机质含量</w:t>
            </w:r>
          </w:p>
        </w:tc>
        <w:tc>
          <w:tcPr>
            <w:tcW w:w="1411" w:type="dxa"/>
            <w:vAlign w:val="center"/>
          </w:tcPr>
          <w:p w14:paraId="463128F6">
            <w:pPr>
              <w:jc w:val="center"/>
              <w:rPr>
                <w:szCs w:val="21"/>
              </w:rPr>
            </w:pPr>
            <w:r>
              <w:rPr>
                <w:rFonts w:hint="eastAsia"/>
                <w:szCs w:val="21"/>
              </w:rPr>
              <w:t>0.1540</w:t>
            </w:r>
          </w:p>
        </w:tc>
      </w:tr>
      <w:tr w14:paraId="7AD4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529" w:type="dxa"/>
            <w:vMerge w:val="continue"/>
            <w:vAlign w:val="center"/>
          </w:tcPr>
          <w:p w14:paraId="0196D2EC">
            <w:pPr>
              <w:jc w:val="center"/>
              <w:rPr>
                <w:szCs w:val="21"/>
              </w:rPr>
            </w:pPr>
          </w:p>
        </w:tc>
        <w:tc>
          <w:tcPr>
            <w:tcW w:w="742" w:type="dxa"/>
            <w:vMerge w:val="continue"/>
            <w:vAlign w:val="center"/>
          </w:tcPr>
          <w:p w14:paraId="042C1251">
            <w:pPr>
              <w:jc w:val="center"/>
              <w:rPr>
                <w:szCs w:val="21"/>
              </w:rPr>
            </w:pPr>
          </w:p>
        </w:tc>
        <w:tc>
          <w:tcPr>
            <w:tcW w:w="2316" w:type="dxa"/>
            <w:vMerge w:val="continue"/>
            <w:vAlign w:val="center"/>
          </w:tcPr>
          <w:p w14:paraId="17FC558F">
            <w:pPr>
              <w:jc w:val="center"/>
              <w:rPr>
                <w:szCs w:val="21"/>
              </w:rPr>
            </w:pPr>
          </w:p>
        </w:tc>
        <w:tc>
          <w:tcPr>
            <w:tcW w:w="2316" w:type="dxa"/>
            <w:vAlign w:val="center"/>
          </w:tcPr>
          <w:p w14:paraId="106A7EE4">
            <w:pPr>
              <w:jc w:val="center"/>
              <w:rPr>
                <w:szCs w:val="21"/>
              </w:rPr>
            </w:pPr>
            <w:r>
              <w:rPr>
                <w:rFonts w:hint="eastAsia"/>
                <w:szCs w:val="21"/>
              </w:rPr>
              <w:t>土壤剖面构型</w:t>
            </w:r>
          </w:p>
        </w:tc>
        <w:tc>
          <w:tcPr>
            <w:tcW w:w="1411" w:type="dxa"/>
            <w:vAlign w:val="center"/>
          </w:tcPr>
          <w:p w14:paraId="444AA7AC">
            <w:pPr>
              <w:jc w:val="center"/>
              <w:rPr>
                <w:szCs w:val="21"/>
              </w:rPr>
            </w:pPr>
            <w:r>
              <w:rPr>
                <w:rFonts w:hint="eastAsia"/>
                <w:szCs w:val="21"/>
              </w:rPr>
              <w:t>0.</w:t>
            </w:r>
            <w:r>
              <w:rPr>
                <w:szCs w:val="21"/>
              </w:rPr>
              <w:t>121</w:t>
            </w:r>
            <w:r>
              <w:rPr>
                <w:rFonts w:hint="eastAsia"/>
                <w:szCs w:val="21"/>
              </w:rPr>
              <w:t>0</w:t>
            </w:r>
          </w:p>
        </w:tc>
      </w:tr>
      <w:tr w14:paraId="5A41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529" w:type="dxa"/>
            <w:vMerge w:val="continue"/>
            <w:vAlign w:val="center"/>
          </w:tcPr>
          <w:p w14:paraId="7A6FAA66">
            <w:pPr>
              <w:jc w:val="center"/>
              <w:rPr>
                <w:szCs w:val="21"/>
              </w:rPr>
            </w:pPr>
          </w:p>
        </w:tc>
        <w:tc>
          <w:tcPr>
            <w:tcW w:w="742" w:type="dxa"/>
            <w:vMerge w:val="continue"/>
            <w:vAlign w:val="center"/>
          </w:tcPr>
          <w:p w14:paraId="45C494BF">
            <w:pPr>
              <w:jc w:val="center"/>
              <w:rPr>
                <w:szCs w:val="21"/>
              </w:rPr>
            </w:pPr>
          </w:p>
        </w:tc>
        <w:tc>
          <w:tcPr>
            <w:tcW w:w="2316" w:type="dxa"/>
            <w:vMerge w:val="continue"/>
            <w:vAlign w:val="center"/>
          </w:tcPr>
          <w:p w14:paraId="779953A8">
            <w:pPr>
              <w:jc w:val="center"/>
              <w:rPr>
                <w:szCs w:val="21"/>
              </w:rPr>
            </w:pPr>
          </w:p>
        </w:tc>
        <w:tc>
          <w:tcPr>
            <w:tcW w:w="2316" w:type="dxa"/>
            <w:vAlign w:val="center"/>
          </w:tcPr>
          <w:p w14:paraId="5FE89944">
            <w:pPr>
              <w:jc w:val="center"/>
              <w:rPr>
                <w:szCs w:val="21"/>
              </w:rPr>
            </w:pPr>
            <w:r>
              <w:rPr>
                <w:rFonts w:hint="eastAsia"/>
                <w:szCs w:val="21"/>
              </w:rPr>
              <w:t>表层土壤质地</w:t>
            </w:r>
          </w:p>
        </w:tc>
        <w:tc>
          <w:tcPr>
            <w:tcW w:w="1411" w:type="dxa"/>
            <w:vAlign w:val="center"/>
          </w:tcPr>
          <w:p w14:paraId="7A04912B">
            <w:pPr>
              <w:jc w:val="center"/>
              <w:rPr>
                <w:szCs w:val="21"/>
              </w:rPr>
            </w:pPr>
            <w:r>
              <w:rPr>
                <w:rFonts w:hint="eastAsia"/>
                <w:szCs w:val="21"/>
              </w:rPr>
              <w:t>0.1320</w:t>
            </w:r>
          </w:p>
        </w:tc>
      </w:tr>
      <w:tr w14:paraId="6344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529" w:type="dxa"/>
            <w:vMerge w:val="continue"/>
            <w:vAlign w:val="center"/>
          </w:tcPr>
          <w:p w14:paraId="16EBF545">
            <w:pPr>
              <w:jc w:val="center"/>
              <w:rPr>
                <w:szCs w:val="21"/>
              </w:rPr>
            </w:pPr>
          </w:p>
        </w:tc>
        <w:tc>
          <w:tcPr>
            <w:tcW w:w="742" w:type="dxa"/>
            <w:vMerge w:val="continue"/>
            <w:vAlign w:val="center"/>
          </w:tcPr>
          <w:p w14:paraId="30D1DDCA">
            <w:pPr>
              <w:jc w:val="center"/>
              <w:rPr>
                <w:szCs w:val="21"/>
              </w:rPr>
            </w:pPr>
          </w:p>
        </w:tc>
        <w:tc>
          <w:tcPr>
            <w:tcW w:w="2316" w:type="dxa"/>
            <w:vMerge w:val="continue"/>
            <w:vAlign w:val="center"/>
          </w:tcPr>
          <w:p w14:paraId="4B540A44">
            <w:pPr>
              <w:jc w:val="center"/>
              <w:rPr>
                <w:szCs w:val="21"/>
              </w:rPr>
            </w:pPr>
          </w:p>
        </w:tc>
        <w:tc>
          <w:tcPr>
            <w:tcW w:w="2316" w:type="dxa"/>
            <w:vAlign w:val="center"/>
          </w:tcPr>
          <w:p w14:paraId="705D8F27">
            <w:pPr>
              <w:jc w:val="center"/>
              <w:rPr>
                <w:szCs w:val="21"/>
              </w:rPr>
            </w:pPr>
            <w:r>
              <w:rPr>
                <w:rFonts w:hint="eastAsia"/>
                <w:szCs w:val="21"/>
              </w:rPr>
              <w:t>土壤PH值</w:t>
            </w:r>
          </w:p>
        </w:tc>
        <w:tc>
          <w:tcPr>
            <w:tcW w:w="1411" w:type="dxa"/>
            <w:vAlign w:val="center"/>
          </w:tcPr>
          <w:p w14:paraId="0AB4A10C">
            <w:pPr>
              <w:jc w:val="center"/>
              <w:rPr>
                <w:szCs w:val="21"/>
              </w:rPr>
            </w:pPr>
            <w:r>
              <w:rPr>
                <w:rFonts w:hint="eastAsia"/>
                <w:szCs w:val="21"/>
              </w:rPr>
              <w:t>0.0385</w:t>
            </w:r>
          </w:p>
        </w:tc>
      </w:tr>
      <w:tr w14:paraId="62B7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529" w:type="dxa"/>
            <w:vMerge w:val="continue"/>
            <w:vAlign w:val="center"/>
          </w:tcPr>
          <w:p w14:paraId="769CCA30">
            <w:pPr>
              <w:jc w:val="center"/>
              <w:rPr>
                <w:szCs w:val="21"/>
              </w:rPr>
            </w:pPr>
          </w:p>
        </w:tc>
        <w:tc>
          <w:tcPr>
            <w:tcW w:w="742" w:type="dxa"/>
            <w:vMerge w:val="continue"/>
            <w:vAlign w:val="center"/>
          </w:tcPr>
          <w:p w14:paraId="714216B6">
            <w:pPr>
              <w:jc w:val="center"/>
              <w:rPr>
                <w:szCs w:val="21"/>
              </w:rPr>
            </w:pPr>
          </w:p>
        </w:tc>
        <w:tc>
          <w:tcPr>
            <w:tcW w:w="2316" w:type="dxa"/>
            <w:vMerge w:val="continue"/>
            <w:vAlign w:val="center"/>
          </w:tcPr>
          <w:p w14:paraId="453C9903">
            <w:pPr>
              <w:jc w:val="center"/>
              <w:rPr>
                <w:szCs w:val="21"/>
              </w:rPr>
            </w:pPr>
          </w:p>
        </w:tc>
        <w:tc>
          <w:tcPr>
            <w:tcW w:w="2316" w:type="dxa"/>
            <w:vAlign w:val="center"/>
          </w:tcPr>
          <w:p w14:paraId="527AA365">
            <w:pPr>
              <w:jc w:val="center"/>
              <w:rPr>
                <w:szCs w:val="21"/>
              </w:rPr>
            </w:pPr>
            <w:r>
              <w:rPr>
                <w:rFonts w:hint="eastAsia"/>
                <w:szCs w:val="21"/>
              </w:rPr>
              <w:t>障碍层深度</w:t>
            </w:r>
          </w:p>
        </w:tc>
        <w:tc>
          <w:tcPr>
            <w:tcW w:w="1411" w:type="dxa"/>
            <w:vAlign w:val="center"/>
          </w:tcPr>
          <w:p w14:paraId="3A7084B6">
            <w:pPr>
              <w:jc w:val="center"/>
              <w:rPr>
                <w:szCs w:val="21"/>
              </w:rPr>
            </w:pPr>
            <w:r>
              <w:rPr>
                <w:rFonts w:hint="eastAsia"/>
                <w:szCs w:val="21"/>
              </w:rPr>
              <w:t>0.0495</w:t>
            </w:r>
          </w:p>
        </w:tc>
      </w:tr>
      <w:tr w14:paraId="65A6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529" w:type="dxa"/>
            <w:vMerge w:val="continue"/>
            <w:vAlign w:val="center"/>
          </w:tcPr>
          <w:p w14:paraId="36479A29">
            <w:pPr>
              <w:jc w:val="center"/>
              <w:rPr>
                <w:szCs w:val="21"/>
              </w:rPr>
            </w:pPr>
          </w:p>
        </w:tc>
        <w:tc>
          <w:tcPr>
            <w:tcW w:w="742" w:type="dxa"/>
            <w:vMerge w:val="continue"/>
            <w:vAlign w:val="center"/>
          </w:tcPr>
          <w:p w14:paraId="0A1AD28A">
            <w:pPr>
              <w:jc w:val="center"/>
              <w:rPr>
                <w:szCs w:val="21"/>
              </w:rPr>
            </w:pPr>
          </w:p>
        </w:tc>
        <w:tc>
          <w:tcPr>
            <w:tcW w:w="2316" w:type="dxa"/>
            <w:vMerge w:val="continue"/>
            <w:vAlign w:val="center"/>
          </w:tcPr>
          <w:p w14:paraId="792CEC23">
            <w:pPr>
              <w:jc w:val="center"/>
              <w:rPr>
                <w:szCs w:val="21"/>
              </w:rPr>
            </w:pPr>
          </w:p>
        </w:tc>
        <w:tc>
          <w:tcPr>
            <w:tcW w:w="2316" w:type="dxa"/>
            <w:vAlign w:val="center"/>
          </w:tcPr>
          <w:p w14:paraId="77B38659">
            <w:pPr>
              <w:jc w:val="center"/>
              <w:rPr>
                <w:szCs w:val="21"/>
              </w:rPr>
            </w:pPr>
            <w:r>
              <w:rPr>
                <w:rFonts w:hint="eastAsia"/>
                <w:szCs w:val="21"/>
              </w:rPr>
              <w:t>地下水埋深</w:t>
            </w:r>
          </w:p>
        </w:tc>
        <w:tc>
          <w:tcPr>
            <w:tcW w:w="1411" w:type="dxa"/>
            <w:vAlign w:val="center"/>
          </w:tcPr>
          <w:p w14:paraId="5B1459FC">
            <w:pPr>
              <w:jc w:val="center"/>
              <w:rPr>
                <w:szCs w:val="21"/>
              </w:rPr>
            </w:pPr>
            <w:r>
              <w:rPr>
                <w:rFonts w:hint="eastAsia"/>
                <w:szCs w:val="21"/>
              </w:rPr>
              <w:t>0.0550</w:t>
            </w:r>
          </w:p>
        </w:tc>
      </w:tr>
      <w:tr w14:paraId="5E89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529" w:type="dxa"/>
            <w:vMerge w:val="restart"/>
            <w:vAlign w:val="center"/>
          </w:tcPr>
          <w:p w14:paraId="40B2D2F8">
            <w:pPr>
              <w:jc w:val="center"/>
              <w:rPr>
                <w:szCs w:val="21"/>
              </w:rPr>
            </w:pPr>
            <w:r>
              <w:rPr>
                <w:rFonts w:hint="eastAsia"/>
                <w:szCs w:val="21"/>
              </w:rPr>
              <w:t>区位经济因素</w:t>
            </w:r>
          </w:p>
        </w:tc>
        <w:tc>
          <w:tcPr>
            <w:tcW w:w="742" w:type="dxa"/>
            <w:vMerge w:val="restart"/>
            <w:vAlign w:val="center"/>
          </w:tcPr>
          <w:p w14:paraId="7CC11448">
            <w:pPr>
              <w:jc w:val="center"/>
              <w:rPr>
                <w:szCs w:val="21"/>
              </w:rPr>
            </w:pPr>
            <w:r>
              <w:rPr>
                <w:rFonts w:hint="eastAsia"/>
                <w:szCs w:val="21"/>
              </w:rPr>
              <w:t>0.4</w:t>
            </w:r>
          </w:p>
        </w:tc>
        <w:tc>
          <w:tcPr>
            <w:tcW w:w="2316" w:type="dxa"/>
            <w:vMerge w:val="restart"/>
            <w:vAlign w:val="center"/>
          </w:tcPr>
          <w:p w14:paraId="34A088DD">
            <w:pPr>
              <w:jc w:val="center"/>
              <w:rPr>
                <w:szCs w:val="21"/>
              </w:rPr>
            </w:pPr>
            <w:r>
              <w:rPr>
                <w:rFonts w:hint="eastAsia"/>
                <w:szCs w:val="21"/>
              </w:rPr>
              <w:t>区位交通条件</w:t>
            </w:r>
          </w:p>
        </w:tc>
        <w:tc>
          <w:tcPr>
            <w:tcW w:w="2316" w:type="dxa"/>
            <w:vAlign w:val="center"/>
          </w:tcPr>
          <w:p w14:paraId="78056ACE">
            <w:pPr>
              <w:jc w:val="center"/>
              <w:rPr>
                <w:szCs w:val="21"/>
              </w:rPr>
            </w:pPr>
            <w:r>
              <w:rPr>
                <w:rFonts w:hint="eastAsia"/>
                <w:szCs w:val="21"/>
              </w:rPr>
              <w:t>农贸市场影响度</w:t>
            </w:r>
          </w:p>
        </w:tc>
        <w:tc>
          <w:tcPr>
            <w:tcW w:w="1411" w:type="dxa"/>
            <w:vAlign w:val="center"/>
          </w:tcPr>
          <w:p w14:paraId="794B5261">
            <w:pPr>
              <w:jc w:val="center"/>
              <w:rPr>
                <w:szCs w:val="21"/>
              </w:rPr>
            </w:pPr>
            <w:r>
              <w:rPr>
                <w:rFonts w:hint="eastAsia"/>
                <w:szCs w:val="21"/>
              </w:rPr>
              <w:t>0.0800</w:t>
            </w:r>
          </w:p>
        </w:tc>
      </w:tr>
      <w:tr w14:paraId="5904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1529" w:type="dxa"/>
            <w:vMerge w:val="continue"/>
            <w:vAlign w:val="center"/>
          </w:tcPr>
          <w:p w14:paraId="38A246DD">
            <w:pPr>
              <w:rPr>
                <w:szCs w:val="21"/>
              </w:rPr>
            </w:pPr>
          </w:p>
        </w:tc>
        <w:tc>
          <w:tcPr>
            <w:tcW w:w="742" w:type="dxa"/>
            <w:vMerge w:val="continue"/>
            <w:vAlign w:val="center"/>
          </w:tcPr>
          <w:p w14:paraId="199729BA">
            <w:pPr>
              <w:jc w:val="center"/>
              <w:rPr>
                <w:szCs w:val="21"/>
              </w:rPr>
            </w:pPr>
          </w:p>
        </w:tc>
        <w:tc>
          <w:tcPr>
            <w:tcW w:w="2316" w:type="dxa"/>
            <w:vMerge w:val="continue"/>
            <w:vAlign w:val="center"/>
          </w:tcPr>
          <w:p w14:paraId="10035C47">
            <w:pPr>
              <w:jc w:val="center"/>
              <w:rPr>
                <w:szCs w:val="21"/>
              </w:rPr>
            </w:pPr>
          </w:p>
        </w:tc>
        <w:tc>
          <w:tcPr>
            <w:tcW w:w="2316" w:type="dxa"/>
            <w:vAlign w:val="center"/>
          </w:tcPr>
          <w:p w14:paraId="0C91A6AC">
            <w:pPr>
              <w:jc w:val="center"/>
              <w:rPr>
                <w:szCs w:val="21"/>
              </w:rPr>
            </w:pPr>
            <w:r>
              <w:rPr>
                <w:rFonts w:hint="eastAsia"/>
                <w:szCs w:val="21"/>
              </w:rPr>
              <w:t>道路通达度</w:t>
            </w:r>
          </w:p>
        </w:tc>
        <w:tc>
          <w:tcPr>
            <w:tcW w:w="1411" w:type="dxa"/>
            <w:vAlign w:val="center"/>
          </w:tcPr>
          <w:p w14:paraId="7CDEE863">
            <w:pPr>
              <w:jc w:val="center"/>
              <w:rPr>
                <w:szCs w:val="21"/>
              </w:rPr>
            </w:pPr>
            <w:r>
              <w:rPr>
                <w:rFonts w:hint="eastAsia"/>
                <w:szCs w:val="21"/>
              </w:rPr>
              <w:t>0.0800</w:t>
            </w:r>
          </w:p>
        </w:tc>
      </w:tr>
      <w:tr w14:paraId="4976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529" w:type="dxa"/>
            <w:vMerge w:val="continue"/>
            <w:vAlign w:val="center"/>
          </w:tcPr>
          <w:p w14:paraId="550F4FD0">
            <w:pPr>
              <w:jc w:val="center"/>
              <w:rPr>
                <w:szCs w:val="21"/>
              </w:rPr>
            </w:pPr>
          </w:p>
        </w:tc>
        <w:tc>
          <w:tcPr>
            <w:tcW w:w="742" w:type="dxa"/>
            <w:vMerge w:val="continue"/>
            <w:vAlign w:val="center"/>
          </w:tcPr>
          <w:p w14:paraId="52F266AD">
            <w:pPr>
              <w:jc w:val="center"/>
              <w:rPr>
                <w:szCs w:val="21"/>
              </w:rPr>
            </w:pPr>
          </w:p>
        </w:tc>
        <w:tc>
          <w:tcPr>
            <w:tcW w:w="2316" w:type="dxa"/>
            <w:vMerge w:val="restart"/>
            <w:vAlign w:val="center"/>
          </w:tcPr>
          <w:p w14:paraId="6C454B47">
            <w:pPr>
              <w:jc w:val="center"/>
              <w:rPr>
                <w:szCs w:val="21"/>
              </w:rPr>
            </w:pPr>
            <w:r>
              <w:rPr>
                <w:rFonts w:hint="eastAsia"/>
                <w:szCs w:val="21"/>
              </w:rPr>
              <w:t>基础设施条件</w:t>
            </w:r>
          </w:p>
        </w:tc>
        <w:tc>
          <w:tcPr>
            <w:tcW w:w="2316" w:type="dxa"/>
            <w:vAlign w:val="center"/>
          </w:tcPr>
          <w:p w14:paraId="07AE46DD">
            <w:pPr>
              <w:jc w:val="center"/>
              <w:rPr>
                <w:szCs w:val="21"/>
              </w:rPr>
            </w:pPr>
            <w:r>
              <w:rPr>
                <w:rFonts w:hint="eastAsia"/>
                <w:szCs w:val="21"/>
              </w:rPr>
              <w:t>排水条件</w:t>
            </w:r>
          </w:p>
        </w:tc>
        <w:tc>
          <w:tcPr>
            <w:tcW w:w="1411" w:type="dxa"/>
            <w:vAlign w:val="center"/>
          </w:tcPr>
          <w:p w14:paraId="78B8879F">
            <w:pPr>
              <w:jc w:val="center"/>
              <w:rPr>
                <w:szCs w:val="21"/>
              </w:rPr>
            </w:pPr>
            <w:r>
              <w:rPr>
                <w:rFonts w:hint="eastAsia"/>
                <w:szCs w:val="21"/>
              </w:rPr>
              <w:t>0.0600</w:t>
            </w:r>
          </w:p>
        </w:tc>
      </w:tr>
      <w:tr w14:paraId="50B7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529" w:type="dxa"/>
            <w:vMerge w:val="continue"/>
            <w:vAlign w:val="center"/>
          </w:tcPr>
          <w:p w14:paraId="7656FB8E">
            <w:pPr>
              <w:rPr>
                <w:szCs w:val="21"/>
              </w:rPr>
            </w:pPr>
          </w:p>
        </w:tc>
        <w:tc>
          <w:tcPr>
            <w:tcW w:w="742" w:type="dxa"/>
            <w:vMerge w:val="continue"/>
            <w:vAlign w:val="center"/>
          </w:tcPr>
          <w:p w14:paraId="47F376AF">
            <w:pPr>
              <w:jc w:val="center"/>
              <w:rPr>
                <w:szCs w:val="21"/>
              </w:rPr>
            </w:pPr>
          </w:p>
        </w:tc>
        <w:tc>
          <w:tcPr>
            <w:tcW w:w="2316" w:type="dxa"/>
            <w:vMerge w:val="continue"/>
            <w:vAlign w:val="center"/>
          </w:tcPr>
          <w:p w14:paraId="5E697FD5">
            <w:pPr>
              <w:jc w:val="center"/>
              <w:rPr>
                <w:szCs w:val="21"/>
              </w:rPr>
            </w:pPr>
          </w:p>
        </w:tc>
        <w:tc>
          <w:tcPr>
            <w:tcW w:w="2316" w:type="dxa"/>
            <w:vAlign w:val="center"/>
          </w:tcPr>
          <w:p w14:paraId="41B2D221">
            <w:pPr>
              <w:jc w:val="center"/>
              <w:rPr>
                <w:szCs w:val="21"/>
              </w:rPr>
            </w:pPr>
            <w:r>
              <w:rPr>
                <w:rFonts w:hint="eastAsia"/>
                <w:szCs w:val="21"/>
              </w:rPr>
              <w:t>灌溉保证率</w:t>
            </w:r>
          </w:p>
        </w:tc>
        <w:tc>
          <w:tcPr>
            <w:tcW w:w="1411" w:type="dxa"/>
            <w:vAlign w:val="center"/>
          </w:tcPr>
          <w:p w14:paraId="685FA836">
            <w:pPr>
              <w:jc w:val="center"/>
              <w:rPr>
                <w:szCs w:val="21"/>
              </w:rPr>
            </w:pPr>
            <w:r>
              <w:rPr>
                <w:rFonts w:hint="eastAsia"/>
                <w:szCs w:val="21"/>
              </w:rPr>
              <w:t>0.0600</w:t>
            </w:r>
          </w:p>
        </w:tc>
      </w:tr>
      <w:tr w14:paraId="19E7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529" w:type="dxa"/>
            <w:vMerge w:val="continue"/>
            <w:vAlign w:val="center"/>
          </w:tcPr>
          <w:p w14:paraId="2F1D174D">
            <w:pPr>
              <w:rPr>
                <w:szCs w:val="21"/>
              </w:rPr>
            </w:pPr>
          </w:p>
        </w:tc>
        <w:tc>
          <w:tcPr>
            <w:tcW w:w="742" w:type="dxa"/>
            <w:vMerge w:val="continue"/>
            <w:vAlign w:val="center"/>
          </w:tcPr>
          <w:p w14:paraId="21153A21">
            <w:pPr>
              <w:jc w:val="center"/>
              <w:rPr>
                <w:szCs w:val="21"/>
              </w:rPr>
            </w:pPr>
          </w:p>
        </w:tc>
        <w:tc>
          <w:tcPr>
            <w:tcW w:w="2316" w:type="dxa"/>
            <w:vMerge w:val="restart"/>
            <w:vAlign w:val="center"/>
          </w:tcPr>
          <w:p w14:paraId="33F08E4D">
            <w:pPr>
              <w:jc w:val="center"/>
              <w:rPr>
                <w:szCs w:val="21"/>
              </w:rPr>
            </w:pPr>
            <w:r>
              <w:rPr>
                <w:rFonts w:hint="eastAsia"/>
                <w:szCs w:val="21"/>
              </w:rPr>
              <w:t>农业经济状况</w:t>
            </w:r>
          </w:p>
        </w:tc>
        <w:tc>
          <w:tcPr>
            <w:tcW w:w="2316" w:type="dxa"/>
            <w:vAlign w:val="center"/>
          </w:tcPr>
          <w:p w14:paraId="6EB7A5AE">
            <w:pPr>
              <w:jc w:val="center"/>
              <w:rPr>
                <w:szCs w:val="21"/>
              </w:rPr>
            </w:pPr>
            <w:r>
              <w:rPr>
                <w:rFonts w:hint="eastAsia"/>
                <w:szCs w:val="21"/>
              </w:rPr>
              <w:t>亩均资金投入</w:t>
            </w:r>
          </w:p>
        </w:tc>
        <w:tc>
          <w:tcPr>
            <w:tcW w:w="1411" w:type="dxa"/>
            <w:vAlign w:val="center"/>
          </w:tcPr>
          <w:p w14:paraId="2BAC0B9B">
            <w:pPr>
              <w:jc w:val="center"/>
              <w:rPr>
                <w:szCs w:val="21"/>
              </w:rPr>
            </w:pPr>
            <w:r>
              <w:rPr>
                <w:rFonts w:hint="eastAsia"/>
                <w:szCs w:val="21"/>
              </w:rPr>
              <w:t>0.0600</w:t>
            </w:r>
          </w:p>
        </w:tc>
      </w:tr>
      <w:tr w14:paraId="378F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529" w:type="dxa"/>
            <w:vMerge w:val="continue"/>
            <w:vAlign w:val="center"/>
          </w:tcPr>
          <w:p w14:paraId="163E2273">
            <w:pPr>
              <w:rPr>
                <w:szCs w:val="21"/>
              </w:rPr>
            </w:pPr>
          </w:p>
        </w:tc>
        <w:tc>
          <w:tcPr>
            <w:tcW w:w="742" w:type="dxa"/>
            <w:vMerge w:val="continue"/>
            <w:vAlign w:val="center"/>
          </w:tcPr>
          <w:p w14:paraId="3C948736">
            <w:pPr>
              <w:jc w:val="center"/>
              <w:rPr>
                <w:szCs w:val="21"/>
              </w:rPr>
            </w:pPr>
          </w:p>
        </w:tc>
        <w:tc>
          <w:tcPr>
            <w:tcW w:w="2316" w:type="dxa"/>
            <w:vMerge w:val="continue"/>
            <w:vAlign w:val="center"/>
          </w:tcPr>
          <w:p w14:paraId="1B9CCDF1">
            <w:pPr>
              <w:jc w:val="center"/>
              <w:rPr>
                <w:szCs w:val="21"/>
              </w:rPr>
            </w:pPr>
          </w:p>
        </w:tc>
        <w:tc>
          <w:tcPr>
            <w:tcW w:w="2316" w:type="dxa"/>
            <w:vAlign w:val="center"/>
          </w:tcPr>
          <w:p w14:paraId="67C086B0">
            <w:pPr>
              <w:jc w:val="center"/>
              <w:rPr>
                <w:szCs w:val="21"/>
              </w:rPr>
            </w:pPr>
            <w:r>
              <w:rPr>
                <w:rFonts w:hint="eastAsia"/>
                <w:szCs w:val="21"/>
              </w:rPr>
              <w:t>亩均纯收益</w:t>
            </w:r>
          </w:p>
        </w:tc>
        <w:tc>
          <w:tcPr>
            <w:tcW w:w="1411" w:type="dxa"/>
            <w:vAlign w:val="center"/>
          </w:tcPr>
          <w:p w14:paraId="24BDBFED">
            <w:pPr>
              <w:jc w:val="center"/>
              <w:rPr>
                <w:szCs w:val="21"/>
              </w:rPr>
            </w:pPr>
            <w:r>
              <w:rPr>
                <w:rFonts w:hint="eastAsia"/>
                <w:szCs w:val="21"/>
              </w:rPr>
              <w:t>0.0600</w:t>
            </w:r>
          </w:p>
        </w:tc>
      </w:tr>
    </w:tbl>
    <w:p w14:paraId="5813BACD">
      <w:pPr>
        <w:pStyle w:val="4"/>
        <w:widowControl w:val="0"/>
        <w:tabs>
          <w:tab w:val="left" w:pos="720"/>
        </w:tabs>
        <w:spacing w:before="120" w:after="120" w:line="500" w:lineRule="exact"/>
        <w:ind w:left="826" w:hanging="826"/>
        <w:jc w:val="both"/>
        <w:rPr>
          <w:rFonts w:ascii="宋体" w:hAnsi="宋体"/>
          <w:sz w:val="24"/>
          <w:szCs w:val="24"/>
        </w:rPr>
      </w:pPr>
      <w:bookmarkStart w:id="245" w:name="_Toc535399962"/>
      <w:bookmarkStart w:id="246" w:name="_Toc47384651"/>
      <w:r>
        <w:rPr>
          <w:rFonts w:hint="eastAsia" w:ascii="宋体" w:hAnsi="宋体"/>
          <w:sz w:val="24"/>
          <w:szCs w:val="24"/>
        </w:rPr>
        <w:t>5</w:t>
      </w:r>
      <w:r>
        <w:rPr>
          <w:rFonts w:ascii="宋体" w:hAnsi="宋体"/>
          <w:sz w:val="24"/>
          <w:szCs w:val="24"/>
        </w:rPr>
        <w:t xml:space="preserve">.2.2 </w:t>
      </w:r>
      <w:r>
        <w:rPr>
          <w:rFonts w:hint="eastAsia" w:ascii="宋体" w:hAnsi="宋体"/>
          <w:sz w:val="24"/>
          <w:szCs w:val="24"/>
        </w:rPr>
        <w:t>测算地价修正幅度值</w:t>
      </w:r>
      <w:bookmarkEnd w:id="245"/>
      <w:bookmarkEnd w:id="246"/>
    </w:p>
    <w:p w14:paraId="2AECA4EC">
      <w:pPr>
        <w:spacing w:line="500" w:lineRule="exact"/>
        <w:ind w:firstLine="480" w:firstLineChars="200"/>
        <w:rPr>
          <w:sz w:val="24"/>
        </w:rPr>
      </w:pPr>
      <w:r>
        <w:rPr>
          <w:rFonts w:hint="eastAsia"/>
          <w:sz w:val="24"/>
        </w:rPr>
        <w:t>以土地级别为单位，以各级别中最高、最低定级因素总分值所对应的单元地价作为上、下限值，分别与相应级别的基准地价相减，得到上调或下调的最高值。计算公式如下：</w:t>
      </w:r>
    </w:p>
    <w:p w14:paraId="14012615">
      <w:pPr>
        <w:spacing w:line="500" w:lineRule="exact"/>
        <w:ind w:firstLine="480" w:firstLineChars="200"/>
        <w:rPr>
          <w:sz w:val="24"/>
        </w:rPr>
      </w:pPr>
      <w:r>
        <w:rPr>
          <w:rFonts w:hint="eastAsia"/>
          <w:sz w:val="24"/>
        </w:rPr>
        <w:t>上调幅度计算公式：</w:t>
      </w:r>
    </w:p>
    <w:p w14:paraId="03D52FE7">
      <w:pPr>
        <w:spacing w:line="500" w:lineRule="exact"/>
        <w:jc w:val="center"/>
        <w:rPr>
          <w:sz w:val="24"/>
        </w:rPr>
      </w:pPr>
      <w:r>
        <w:rPr>
          <w:rFonts w:hint="eastAsia"/>
          <w:sz w:val="24"/>
        </w:rPr>
        <w:t>F</w:t>
      </w:r>
      <w:r>
        <w:rPr>
          <w:rFonts w:hint="eastAsia"/>
          <w:sz w:val="24"/>
          <w:vertAlign w:val="subscript"/>
        </w:rPr>
        <w:t>1</w:t>
      </w:r>
      <w:r>
        <w:rPr>
          <w:rFonts w:hint="eastAsia"/>
          <w:sz w:val="24"/>
        </w:rPr>
        <w:t>=[(I</w:t>
      </w:r>
      <w:r>
        <w:rPr>
          <w:rFonts w:hint="eastAsia"/>
          <w:sz w:val="24"/>
          <w:vertAlign w:val="subscript"/>
        </w:rPr>
        <w:t>nb</w:t>
      </w:r>
      <w:r>
        <w:rPr>
          <w:rFonts w:hint="eastAsia"/>
          <w:sz w:val="24"/>
        </w:rPr>
        <w:t>-I</w:t>
      </w:r>
      <w:r>
        <w:rPr>
          <w:rFonts w:hint="eastAsia"/>
          <w:sz w:val="24"/>
          <w:vertAlign w:val="subscript"/>
        </w:rPr>
        <w:t>lb</w:t>
      </w:r>
      <w:r>
        <w:rPr>
          <w:rFonts w:hint="eastAsia"/>
          <w:sz w:val="24"/>
        </w:rPr>
        <w:t>)/I</w:t>
      </w:r>
      <w:r>
        <w:rPr>
          <w:rFonts w:hint="eastAsia"/>
          <w:sz w:val="24"/>
          <w:vertAlign w:val="subscript"/>
        </w:rPr>
        <w:t>lb</w:t>
      </w:r>
      <w:r>
        <w:rPr>
          <w:rFonts w:hint="eastAsia"/>
          <w:sz w:val="24"/>
        </w:rPr>
        <w:t>]×100%</w:t>
      </w:r>
    </w:p>
    <w:p w14:paraId="718B5131">
      <w:pPr>
        <w:spacing w:line="500" w:lineRule="exact"/>
        <w:ind w:firstLine="120" w:firstLineChars="50"/>
        <w:rPr>
          <w:sz w:val="24"/>
        </w:rPr>
      </w:pPr>
      <w:r>
        <w:rPr>
          <w:rFonts w:hint="eastAsia"/>
          <w:sz w:val="24"/>
        </w:rPr>
        <w:t>下调幅度计算公式：</w:t>
      </w:r>
    </w:p>
    <w:p w14:paraId="427FC607">
      <w:pPr>
        <w:spacing w:line="500" w:lineRule="exact"/>
        <w:jc w:val="center"/>
        <w:rPr>
          <w:sz w:val="24"/>
        </w:rPr>
      </w:pPr>
      <w:r>
        <w:rPr>
          <w:rFonts w:hint="eastAsia"/>
          <w:sz w:val="24"/>
        </w:rPr>
        <w:t>F</w:t>
      </w:r>
      <w:r>
        <w:rPr>
          <w:rFonts w:hint="eastAsia"/>
          <w:sz w:val="24"/>
          <w:vertAlign w:val="subscript"/>
        </w:rPr>
        <w:t>2</w:t>
      </w:r>
      <w:r>
        <w:rPr>
          <w:rFonts w:hint="eastAsia"/>
          <w:sz w:val="24"/>
        </w:rPr>
        <w:t>=[(I</w:t>
      </w:r>
      <w:r>
        <w:rPr>
          <w:rFonts w:hint="eastAsia"/>
          <w:sz w:val="24"/>
          <w:vertAlign w:val="subscript"/>
        </w:rPr>
        <w:t>lb</w:t>
      </w:r>
      <w:r>
        <w:rPr>
          <w:rFonts w:hint="eastAsia"/>
          <w:sz w:val="24"/>
        </w:rPr>
        <w:t>-I</w:t>
      </w:r>
      <w:r>
        <w:rPr>
          <w:rFonts w:hint="eastAsia"/>
          <w:sz w:val="24"/>
          <w:vertAlign w:val="subscript"/>
        </w:rPr>
        <w:t>ni</w:t>
      </w:r>
      <w:r>
        <w:rPr>
          <w:rFonts w:hint="eastAsia"/>
          <w:sz w:val="24"/>
        </w:rPr>
        <w:t>)/I</w:t>
      </w:r>
      <w:r>
        <w:rPr>
          <w:rFonts w:hint="eastAsia"/>
          <w:sz w:val="24"/>
          <w:vertAlign w:val="subscript"/>
        </w:rPr>
        <w:t>lb</w:t>
      </w:r>
      <w:r>
        <w:rPr>
          <w:rFonts w:hint="eastAsia"/>
          <w:sz w:val="24"/>
        </w:rPr>
        <w:t>]×100%</w:t>
      </w:r>
    </w:p>
    <w:p w14:paraId="65CE7A56">
      <w:pPr>
        <w:spacing w:line="500" w:lineRule="exact"/>
        <w:ind w:firstLine="480" w:firstLineChars="200"/>
        <w:rPr>
          <w:rFonts w:eastAsia="Times New Roman"/>
          <w:sz w:val="24"/>
        </w:rPr>
      </w:pPr>
      <w:r>
        <w:rPr>
          <w:sz w:val="24"/>
        </w:rPr>
        <w:t>式中：</w:t>
      </w:r>
      <w:r>
        <w:rPr>
          <w:rFonts w:eastAsia="Times New Roman"/>
          <w:position w:val="-10"/>
          <w:sz w:val="24"/>
        </w:rPr>
        <w:drawing>
          <wp:inline distT="0" distB="0" distL="114300" distR="114300">
            <wp:extent cx="161925" cy="222250"/>
            <wp:effectExtent l="0" t="0" r="9525" b="4445"/>
            <wp:docPr id="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4"/>
                    <pic:cNvPicPr>
                      <a:picLocks noChangeAspect="1"/>
                    </pic:cNvPicPr>
                  </pic:nvPicPr>
                  <pic:blipFill>
                    <a:blip r:embed="rId92" cstate="print"/>
                    <a:stretch>
                      <a:fillRect/>
                    </a:stretch>
                  </pic:blipFill>
                  <pic:spPr>
                    <a:xfrm>
                      <a:off x="0" y="0"/>
                      <a:ext cx="161925" cy="222250"/>
                    </a:xfrm>
                    <a:prstGeom prst="rect">
                      <a:avLst/>
                    </a:prstGeom>
                    <a:noFill/>
                    <a:ln w="9525">
                      <a:noFill/>
                    </a:ln>
                  </pic:spPr>
                </pic:pic>
              </a:graphicData>
            </a:graphic>
          </wp:inline>
        </w:drawing>
      </w:r>
      <w:r>
        <w:rPr>
          <w:sz w:val="24"/>
        </w:rPr>
        <w:t>—基准地价上调最大幅度</w:t>
      </w:r>
      <w:r>
        <w:rPr>
          <w:rFonts w:hint="eastAsia"/>
          <w:sz w:val="24"/>
        </w:rPr>
        <w:t>；</w:t>
      </w:r>
    </w:p>
    <w:p w14:paraId="3D7B456F">
      <w:pPr>
        <w:spacing w:line="500" w:lineRule="exact"/>
        <w:ind w:firstLine="1200" w:firstLineChars="500"/>
        <w:rPr>
          <w:rFonts w:eastAsia="Times New Roman"/>
          <w:sz w:val="24"/>
        </w:rPr>
      </w:pPr>
      <w:r>
        <w:rPr>
          <w:rFonts w:eastAsia="Times New Roman"/>
          <w:position w:val="-10"/>
          <w:sz w:val="24"/>
        </w:rPr>
        <w:drawing>
          <wp:inline distT="0" distB="0" distL="114300" distR="114300">
            <wp:extent cx="186690" cy="222250"/>
            <wp:effectExtent l="0" t="0" r="3810" b="4445"/>
            <wp:docPr id="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
                    <pic:cNvPicPr>
                      <a:picLocks noChangeAspect="1"/>
                    </pic:cNvPicPr>
                  </pic:nvPicPr>
                  <pic:blipFill>
                    <a:blip r:embed="rId93" cstate="print"/>
                    <a:stretch>
                      <a:fillRect/>
                    </a:stretch>
                  </pic:blipFill>
                  <pic:spPr>
                    <a:xfrm>
                      <a:off x="0" y="0"/>
                      <a:ext cx="186690" cy="222250"/>
                    </a:xfrm>
                    <a:prstGeom prst="rect">
                      <a:avLst/>
                    </a:prstGeom>
                    <a:noFill/>
                    <a:ln w="9525">
                      <a:noFill/>
                    </a:ln>
                  </pic:spPr>
                </pic:pic>
              </a:graphicData>
            </a:graphic>
          </wp:inline>
        </w:drawing>
      </w:r>
      <w:r>
        <w:rPr>
          <w:sz w:val="24"/>
        </w:rPr>
        <w:t>—基准地价下调最大幅度</w:t>
      </w:r>
      <w:r>
        <w:rPr>
          <w:rFonts w:hint="eastAsia"/>
          <w:sz w:val="24"/>
        </w:rPr>
        <w:t>；</w:t>
      </w:r>
    </w:p>
    <w:p w14:paraId="744D3FDC">
      <w:pPr>
        <w:spacing w:line="500" w:lineRule="exact"/>
        <w:ind w:firstLine="1200" w:firstLineChars="500"/>
        <w:rPr>
          <w:rFonts w:eastAsia="Times New Roman"/>
          <w:sz w:val="24"/>
        </w:rPr>
      </w:pPr>
      <w:r>
        <w:rPr>
          <w:rFonts w:eastAsia="Times New Roman"/>
          <w:position w:val="-12"/>
          <w:sz w:val="24"/>
        </w:rPr>
        <w:drawing>
          <wp:inline distT="0" distB="0" distL="114300" distR="114300">
            <wp:extent cx="193675" cy="228600"/>
            <wp:effectExtent l="0" t="0" r="16510" b="0"/>
            <wp:docPr id="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pic:cNvPicPr>
                      <a:picLocks noChangeAspect="1"/>
                    </pic:cNvPicPr>
                  </pic:nvPicPr>
                  <pic:blipFill>
                    <a:blip r:embed="rId94" cstate="print"/>
                    <a:stretch>
                      <a:fillRect/>
                    </a:stretch>
                  </pic:blipFill>
                  <pic:spPr>
                    <a:xfrm>
                      <a:off x="0" y="0"/>
                      <a:ext cx="193675" cy="228600"/>
                    </a:xfrm>
                    <a:prstGeom prst="rect">
                      <a:avLst/>
                    </a:prstGeom>
                    <a:noFill/>
                    <a:ln w="9525">
                      <a:noFill/>
                    </a:ln>
                  </pic:spPr>
                </pic:pic>
              </a:graphicData>
            </a:graphic>
          </wp:inline>
        </w:drawing>
      </w:r>
      <w:r>
        <w:rPr>
          <w:sz w:val="24"/>
        </w:rPr>
        <w:t>—基准地价</w:t>
      </w:r>
      <w:r>
        <w:rPr>
          <w:rFonts w:hint="eastAsia"/>
          <w:sz w:val="24"/>
        </w:rPr>
        <w:t>；</w:t>
      </w:r>
    </w:p>
    <w:p w14:paraId="42DE3064">
      <w:pPr>
        <w:spacing w:line="500" w:lineRule="exact"/>
        <w:ind w:firstLine="1200" w:firstLineChars="500"/>
        <w:rPr>
          <w:rFonts w:eastAsia="Times New Roman"/>
          <w:sz w:val="24"/>
        </w:rPr>
      </w:pPr>
      <w:r>
        <w:rPr>
          <w:rFonts w:eastAsia="Times New Roman"/>
          <w:position w:val="-12"/>
          <w:sz w:val="24"/>
        </w:rPr>
        <w:drawing>
          <wp:inline distT="0" distB="0" distL="114300" distR="114300">
            <wp:extent cx="220345" cy="228600"/>
            <wp:effectExtent l="0" t="0" r="7620" b="0"/>
            <wp:docPr id="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
                    <pic:cNvPicPr>
                      <a:picLocks noChangeAspect="1"/>
                    </pic:cNvPicPr>
                  </pic:nvPicPr>
                  <pic:blipFill>
                    <a:blip r:embed="rId95" cstate="print"/>
                    <a:stretch>
                      <a:fillRect/>
                    </a:stretch>
                  </pic:blipFill>
                  <pic:spPr>
                    <a:xfrm>
                      <a:off x="0" y="0"/>
                      <a:ext cx="220345" cy="228600"/>
                    </a:xfrm>
                    <a:prstGeom prst="rect">
                      <a:avLst/>
                    </a:prstGeom>
                    <a:noFill/>
                    <a:ln w="9525">
                      <a:noFill/>
                    </a:ln>
                  </pic:spPr>
                </pic:pic>
              </a:graphicData>
            </a:graphic>
          </wp:inline>
        </w:drawing>
      </w:r>
      <w:r>
        <w:rPr>
          <w:sz w:val="24"/>
        </w:rPr>
        <w:t>—级别或区域正常地价的最高值</w:t>
      </w:r>
      <w:r>
        <w:rPr>
          <w:rFonts w:hint="eastAsia"/>
          <w:sz w:val="24"/>
        </w:rPr>
        <w:t>；</w:t>
      </w:r>
    </w:p>
    <w:p w14:paraId="37FFF5FC">
      <w:pPr>
        <w:spacing w:line="500" w:lineRule="exact"/>
        <w:ind w:left="143" w:leftChars="68" w:firstLine="1080" w:firstLineChars="450"/>
        <w:rPr>
          <w:rFonts w:eastAsia="Times New Roman"/>
          <w:sz w:val="24"/>
        </w:rPr>
      </w:pPr>
      <w:r>
        <w:rPr>
          <w:rFonts w:eastAsia="Times New Roman"/>
          <w:position w:val="-12"/>
          <w:sz w:val="24"/>
        </w:rPr>
        <w:drawing>
          <wp:inline distT="0" distB="0" distL="114300" distR="114300">
            <wp:extent cx="189230" cy="228600"/>
            <wp:effectExtent l="0" t="0" r="1270" b="0"/>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r:embed="rId96" cstate="print"/>
                    <a:stretch>
                      <a:fillRect/>
                    </a:stretch>
                  </pic:blipFill>
                  <pic:spPr>
                    <a:xfrm>
                      <a:off x="0" y="0"/>
                      <a:ext cx="189230" cy="228600"/>
                    </a:xfrm>
                    <a:prstGeom prst="rect">
                      <a:avLst/>
                    </a:prstGeom>
                    <a:noFill/>
                    <a:ln w="9525">
                      <a:noFill/>
                    </a:ln>
                  </pic:spPr>
                </pic:pic>
              </a:graphicData>
            </a:graphic>
          </wp:inline>
        </w:drawing>
      </w:r>
      <w:r>
        <w:rPr>
          <w:sz w:val="24"/>
        </w:rPr>
        <w:t>—级别或区域正常地价的最低值</w:t>
      </w:r>
      <w:r>
        <w:rPr>
          <w:rFonts w:hint="eastAsia"/>
          <w:sz w:val="24"/>
        </w:rPr>
        <w:t>。</w:t>
      </w:r>
    </w:p>
    <w:p w14:paraId="21E49917">
      <w:pPr>
        <w:spacing w:line="500" w:lineRule="exact"/>
        <w:ind w:firstLine="600" w:firstLineChars="250"/>
        <w:rPr>
          <w:sz w:val="22"/>
        </w:rPr>
      </w:pPr>
      <w:r>
        <w:rPr>
          <w:rFonts w:hint="eastAsia"/>
          <w:sz w:val="24"/>
        </w:rPr>
        <w:t>根据前述确定的单元总分值、基准地价评估结果及其关系模型，按上述公式可以计算出各类各级基准地价修正幅度值。结果见表5-2。</w:t>
      </w:r>
    </w:p>
    <w:p w14:paraId="4E088BBA">
      <w:pPr>
        <w:spacing w:line="500" w:lineRule="exact"/>
        <w:jc w:val="center"/>
        <w:rPr>
          <w:sz w:val="24"/>
        </w:rPr>
      </w:pPr>
      <w:r>
        <w:rPr>
          <w:b/>
          <w:szCs w:val="21"/>
        </w:rPr>
        <w:t>表5-2 鄂州市国有农用地</w:t>
      </w:r>
      <w:r>
        <w:rPr>
          <w:rFonts w:hint="eastAsia"/>
          <w:b/>
          <w:szCs w:val="21"/>
        </w:rPr>
        <w:t>修正</w:t>
      </w:r>
      <w:r>
        <w:rPr>
          <w:b/>
          <w:szCs w:val="21"/>
        </w:rPr>
        <w:t>幅度表</w:t>
      </w:r>
    </w:p>
    <w:tbl>
      <w:tblPr>
        <w:tblStyle w:val="39"/>
        <w:tblW w:w="8296" w:type="dxa"/>
        <w:tblInd w:w="0" w:type="dxa"/>
        <w:tblLayout w:type="fixed"/>
        <w:tblCellMar>
          <w:top w:w="15" w:type="dxa"/>
          <w:left w:w="15" w:type="dxa"/>
          <w:bottom w:w="15" w:type="dxa"/>
          <w:right w:w="15" w:type="dxa"/>
        </w:tblCellMar>
      </w:tblPr>
      <w:tblGrid>
        <w:gridCol w:w="1858"/>
        <w:gridCol w:w="1858"/>
        <w:gridCol w:w="959"/>
        <w:gridCol w:w="959"/>
        <w:gridCol w:w="1331"/>
        <w:gridCol w:w="1331"/>
      </w:tblGrid>
      <w:tr w14:paraId="62DC07F3">
        <w:tblPrEx>
          <w:tblCellMar>
            <w:top w:w="15" w:type="dxa"/>
            <w:left w:w="15" w:type="dxa"/>
            <w:bottom w:w="15" w:type="dxa"/>
            <w:right w:w="15" w:type="dxa"/>
          </w:tblCellMar>
        </w:tblPrEx>
        <w:trPr>
          <w:trHeight w:val="259" w:hRule="atLeast"/>
        </w:trPr>
        <w:tc>
          <w:tcPr>
            <w:tcW w:w="1858" w:type="dxa"/>
            <w:tcBorders>
              <w:top w:val="single" w:color="000000" w:sz="4" w:space="0"/>
              <w:left w:val="single" w:color="000000" w:sz="4" w:space="0"/>
              <w:bottom w:val="single" w:color="000000" w:sz="4" w:space="0"/>
              <w:right w:val="single" w:color="000000" w:sz="4" w:space="0"/>
            </w:tcBorders>
            <w:vAlign w:val="center"/>
          </w:tcPr>
          <w:p w14:paraId="1F776CDC">
            <w:pPr>
              <w:jc w:val="center"/>
              <w:rPr>
                <w:rFonts w:ascii="宋体" w:hAnsi="宋体" w:cs="宋体"/>
                <w:color w:val="000000"/>
                <w:kern w:val="0"/>
                <w:szCs w:val="21"/>
              </w:rPr>
            </w:pPr>
            <w:r>
              <w:rPr>
                <w:rFonts w:hint="eastAsia" w:ascii="宋体" w:hAnsi="宋体" w:cs="宋体"/>
                <w:color w:val="000000"/>
                <w:kern w:val="0"/>
                <w:szCs w:val="21"/>
              </w:rPr>
              <w:t>土地级别</w:t>
            </w:r>
          </w:p>
        </w:tc>
        <w:tc>
          <w:tcPr>
            <w:tcW w:w="1858" w:type="dxa"/>
            <w:tcBorders>
              <w:top w:val="single" w:color="000000" w:sz="4" w:space="0"/>
              <w:left w:val="single" w:color="000000" w:sz="4" w:space="0"/>
              <w:bottom w:val="single" w:color="000000" w:sz="4" w:space="0"/>
              <w:right w:val="single" w:color="000000" w:sz="4" w:space="0"/>
            </w:tcBorders>
            <w:vAlign w:val="center"/>
          </w:tcPr>
          <w:p w14:paraId="151A0513">
            <w:pPr>
              <w:jc w:val="center"/>
              <w:rPr>
                <w:rFonts w:ascii="宋体" w:hAnsi="宋体" w:cs="宋体"/>
                <w:color w:val="000000"/>
                <w:kern w:val="0"/>
                <w:szCs w:val="21"/>
              </w:rPr>
            </w:pPr>
            <w:r>
              <w:rPr>
                <w:rFonts w:hint="eastAsia" w:ascii="宋体" w:hAnsi="宋体" w:cs="宋体"/>
                <w:color w:val="000000"/>
                <w:kern w:val="0"/>
                <w:szCs w:val="21"/>
              </w:rPr>
              <w:t>基准地价</w:t>
            </w:r>
          </w:p>
        </w:tc>
        <w:tc>
          <w:tcPr>
            <w:tcW w:w="959" w:type="dxa"/>
            <w:tcBorders>
              <w:top w:val="single" w:color="000000" w:sz="4" w:space="0"/>
              <w:left w:val="single" w:color="000000" w:sz="4" w:space="0"/>
              <w:bottom w:val="single" w:color="000000" w:sz="4" w:space="0"/>
              <w:right w:val="single" w:color="000000" w:sz="4" w:space="0"/>
            </w:tcBorders>
            <w:vAlign w:val="center"/>
          </w:tcPr>
          <w:p w14:paraId="74A7B9D3">
            <w:pPr>
              <w:jc w:val="center"/>
              <w:rPr>
                <w:rFonts w:ascii="宋体" w:hAnsi="宋体" w:cs="宋体"/>
                <w:color w:val="000000"/>
                <w:kern w:val="0"/>
                <w:szCs w:val="21"/>
              </w:rPr>
            </w:pPr>
            <w:r>
              <w:rPr>
                <w:rFonts w:hint="eastAsia" w:ascii="宋体" w:hAnsi="宋体" w:cs="宋体"/>
                <w:color w:val="000000"/>
                <w:kern w:val="0"/>
                <w:szCs w:val="21"/>
              </w:rPr>
              <w:t>最高</w:t>
            </w:r>
          </w:p>
        </w:tc>
        <w:tc>
          <w:tcPr>
            <w:tcW w:w="959" w:type="dxa"/>
            <w:tcBorders>
              <w:top w:val="single" w:color="000000" w:sz="4" w:space="0"/>
              <w:left w:val="single" w:color="000000" w:sz="4" w:space="0"/>
              <w:bottom w:val="single" w:color="000000" w:sz="4" w:space="0"/>
              <w:right w:val="single" w:color="000000" w:sz="4" w:space="0"/>
            </w:tcBorders>
            <w:vAlign w:val="center"/>
          </w:tcPr>
          <w:p w14:paraId="3A2CC224">
            <w:pPr>
              <w:jc w:val="center"/>
              <w:rPr>
                <w:rFonts w:ascii="宋体" w:hAnsi="宋体" w:cs="宋体"/>
                <w:color w:val="000000"/>
                <w:kern w:val="0"/>
                <w:szCs w:val="21"/>
              </w:rPr>
            </w:pPr>
            <w:r>
              <w:rPr>
                <w:rFonts w:hint="eastAsia" w:ascii="宋体" w:hAnsi="宋体" w:cs="宋体"/>
                <w:color w:val="000000"/>
                <w:kern w:val="0"/>
                <w:szCs w:val="21"/>
              </w:rPr>
              <w:t>最低</w:t>
            </w:r>
          </w:p>
        </w:tc>
        <w:tc>
          <w:tcPr>
            <w:tcW w:w="1331" w:type="dxa"/>
            <w:tcBorders>
              <w:top w:val="single" w:color="000000" w:sz="4" w:space="0"/>
              <w:left w:val="single" w:color="000000" w:sz="4" w:space="0"/>
              <w:bottom w:val="single" w:color="000000" w:sz="4" w:space="0"/>
              <w:right w:val="single" w:color="000000" w:sz="4" w:space="0"/>
            </w:tcBorders>
            <w:vAlign w:val="center"/>
          </w:tcPr>
          <w:p w14:paraId="1B282EF4">
            <w:pPr>
              <w:jc w:val="center"/>
              <w:rPr>
                <w:rFonts w:ascii="宋体" w:hAnsi="宋体" w:cs="宋体"/>
                <w:color w:val="000000"/>
                <w:kern w:val="0"/>
                <w:szCs w:val="21"/>
              </w:rPr>
            </w:pPr>
            <w:r>
              <w:rPr>
                <w:rFonts w:hint="eastAsia" w:ascii="宋体" w:hAnsi="宋体" w:cs="宋体"/>
                <w:color w:val="000000"/>
                <w:kern w:val="0"/>
                <w:szCs w:val="21"/>
              </w:rPr>
              <w:t>上调</w:t>
            </w:r>
          </w:p>
        </w:tc>
        <w:tc>
          <w:tcPr>
            <w:tcW w:w="1331" w:type="dxa"/>
            <w:tcBorders>
              <w:top w:val="single" w:color="000000" w:sz="4" w:space="0"/>
              <w:left w:val="single" w:color="000000" w:sz="4" w:space="0"/>
              <w:bottom w:val="single" w:color="000000" w:sz="4" w:space="0"/>
              <w:right w:val="single" w:color="000000" w:sz="4" w:space="0"/>
            </w:tcBorders>
            <w:vAlign w:val="center"/>
          </w:tcPr>
          <w:p w14:paraId="661074CE">
            <w:pPr>
              <w:jc w:val="center"/>
              <w:rPr>
                <w:rFonts w:ascii="宋体" w:hAnsi="宋体" w:cs="宋体"/>
                <w:color w:val="000000"/>
                <w:kern w:val="0"/>
                <w:szCs w:val="21"/>
              </w:rPr>
            </w:pPr>
            <w:r>
              <w:rPr>
                <w:rFonts w:hint="eastAsia" w:ascii="宋体" w:hAnsi="宋体" w:cs="宋体"/>
                <w:color w:val="000000"/>
                <w:kern w:val="0"/>
                <w:szCs w:val="21"/>
              </w:rPr>
              <w:t>下调</w:t>
            </w:r>
          </w:p>
        </w:tc>
      </w:tr>
      <w:tr w14:paraId="65D50EA4">
        <w:tblPrEx>
          <w:tblCellMar>
            <w:top w:w="15" w:type="dxa"/>
            <w:left w:w="15" w:type="dxa"/>
            <w:bottom w:w="15" w:type="dxa"/>
            <w:right w:w="15" w:type="dxa"/>
          </w:tblCellMar>
        </w:tblPrEx>
        <w:trPr>
          <w:trHeight w:val="152" w:hRule="atLeast"/>
        </w:trPr>
        <w:tc>
          <w:tcPr>
            <w:tcW w:w="1858" w:type="dxa"/>
            <w:tcBorders>
              <w:top w:val="single" w:color="000000" w:sz="4" w:space="0"/>
              <w:left w:val="single" w:color="000000" w:sz="4" w:space="0"/>
              <w:bottom w:val="single" w:color="000000" w:sz="4" w:space="0"/>
              <w:right w:val="single" w:color="000000" w:sz="4" w:space="0"/>
            </w:tcBorders>
            <w:vAlign w:val="center"/>
          </w:tcPr>
          <w:p w14:paraId="6915155C">
            <w:pPr>
              <w:jc w:val="center"/>
              <w:rPr>
                <w:rFonts w:ascii="宋体" w:hAnsi="宋体" w:cs="宋体"/>
                <w:color w:val="000000"/>
                <w:kern w:val="0"/>
                <w:szCs w:val="21"/>
              </w:rPr>
            </w:pPr>
            <w:r>
              <w:rPr>
                <w:rFonts w:hint="eastAsia" w:ascii="宋体" w:hAnsi="宋体" w:cs="宋体"/>
                <w:color w:val="000000"/>
                <w:kern w:val="0"/>
                <w:szCs w:val="21"/>
              </w:rPr>
              <w:t>Ⅰ</w:t>
            </w:r>
          </w:p>
        </w:tc>
        <w:tc>
          <w:tcPr>
            <w:tcW w:w="1858" w:type="dxa"/>
            <w:tcBorders>
              <w:top w:val="single" w:color="000000" w:sz="4" w:space="0"/>
              <w:left w:val="single" w:color="000000" w:sz="4" w:space="0"/>
              <w:bottom w:val="single" w:color="000000" w:sz="4" w:space="0"/>
              <w:right w:val="single" w:color="000000" w:sz="4" w:space="0"/>
            </w:tcBorders>
            <w:vAlign w:val="center"/>
          </w:tcPr>
          <w:p w14:paraId="7050902B">
            <w:pPr>
              <w:jc w:val="center"/>
              <w:rPr>
                <w:rFonts w:ascii="宋体" w:hAnsi="宋体" w:cs="宋体"/>
                <w:color w:val="000000"/>
                <w:kern w:val="0"/>
                <w:szCs w:val="21"/>
              </w:rPr>
            </w:pPr>
            <w:r>
              <w:rPr>
                <w:rFonts w:hint="eastAsia" w:ascii="宋体" w:hAnsi="宋体" w:cs="宋体"/>
                <w:color w:val="000000"/>
                <w:kern w:val="0"/>
                <w:szCs w:val="21"/>
              </w:rPr>
              <w:t>351</w:t>
            </w:r>
          </w:p>
        </w:tc>
        <w:tc>
          <w:tcPr>
            <w:tcW w:w="959" w:type="dxa"/>
            <w:tcBorders>
              <w:top w:val="single" w:color="000000" w:sz="4" w:space="0"/>
              <w:left w:val="single" w:color="000000" w:sz="4" w:space="0"/>
              <w:bottom w:val="single" w:color="000000" w:sz="4" w:space="0"/>
              <w:right w:val="single" w:color="000000" w:sz="4" w:space="0"/>
            </w:tcBorders>
            <w:vAlign w:val="center"/>
          </w:tcPr>
          <w:p w14:paraId="4B624EA4">
            <w:pPr>
              <w:jc w:val="center"/>
              <w:rPr>
                <w:rFonts w:ascii="宋体" w:hAnsi="宋体" w:cs="宋体"/>
                <w:color w:val="000000"/>
                <w:kern w:val="0"/>
                <w:szCs w:val="21"/>
              </w:rPr>
            </w:pPr>
            <w:r>
              <w:rPr>
                <w:rFonts w:hint="eastAsia" w:ascii="宋体" w:hAnsi="宋体" w:cs="宋体"/>
                <w:color w:val="000000"/>
                <w:kern w:val="0"/>
                <w:szCs w:val="21"/>
              </w:rPr>
              <w:t>390</w:t>
            </w:r>
          </w:p>
        </w:tc>
        <w:tc>
          <w:tcPr>
            <w:tcW w:w="959" w:type="dxa"/>
            <w:tcBorders>
              <w:top w:val="single" w:color="000000" w:sz="4" w:space="0"/>
              <w:left w:val="single" w:color="000000" w:sz="4" w:space="0"/>
              <w:bottom w:val="single" w:color="000000" w:sz="4" w:space="0"/>
              <w:right w:val="single" w:color="000000" w:sz="4" w:space="0"/>
            </w:tcBorders>
            <w:vAlign w:val="center"/>
          </w:tcPr>
          <w:p w14:paraId="2373D3FA">
            <w:pPr>
              <w:jc w:val="center"/>
              <w:rPr>
                <w:rFonts w:ascii="宋体" w:hAnsi="宋体" w:cs="宋体"/>
                <w:color w:val="000000"/>
                <w:kern w:val="0"/>
                <w:szCs w:val="21"/>
              </w:rPr>
            </w:pPr>
            <w:r>
              <w:rPr>
                <w:rFonts w:hint="eastAsia" w:ascii="宋体" w:hAnsi="宋体" w:cs="宋体"/>
                <w:color w:val="000000"/>
                <w:kern w:val="0"/>
                <w:szCs w:val="21"/>
              </w:rPr>
              <w:t>313</w:t>
            </w:r>
          </w:p>
        </w:tc>
        <w:tc>
          <w:tcPr>
            <w:tcW w:w="1331" w:type="dxa"/>
            <w:tcBorders>
              <w:top w:val="single" w:color="000000" w:sz="4" w:space="0"/>
              <w:left w:val="single" w:color="000000" w:sz="4" w:space="0"/>
              <w:bottom w:val="single" w:color="000000" w:sz="4" w:space="0"/>
              <w:right w:val="single" w:color="000000" w:sz="4" w:space="0"/>
            </w:tcBorders>
            <w:vAlign w:val="center"/>
          </w:tcPr>
          <w:p w14:paraId="30C31EC3">
            <w:pPr>
              <w:jc w:val="center"/>
              <w:rPr>
                <w:rFonts w:ascii="宋体" w:hAnsi="宋体" w:cs="宋体"/>
                <w:color w:val="000000"/>
                <w:kern w:val="0"/>
                <w:szCs w:val="21"/>
              </w:rPr>
            </w:pPr>
            <w:r>
              <w:rPr>
                <w:rFonts w:hint="eastAsia" w:ascii="宋体" w:hAnsi="宋体" w:cs="宋体"/>
                <w:color w:val="000000"/>
                <w:kern w:val="0"/>
                <w:szCs w:val="21"/>
              </w:rPr>
              <w:t>11.40%</w:t>
            </w:r>
          </w:p>
        </w:tc>
        <w:tc>
          <w:tcPr>
            <w:tcW w:w="1331" w:type="dxa"/>
            <w:tcBorders>
              <w:top w:val="single" w:color="000000" w:sz="4" w:space="0"/>
              <w:left w:val="single" w:color="000000" w:sz="4" w:space="0"/>
              <w:bottom w:val="single" w:color="000000" w:sz="4" w:space="0"/>
              <w:right w:val="single" w:color="000000" w:sz="4" w:space="0"/>
            </w:tcBorders>
            <w:vAlign w:val="center"/>
          </w:tcPr>
          <w:p w14:paraId="5AC50A30">
            <w:pPr>
              <w:jc w:val="center"/>
              <w:rPr>
                <w:rFonts w:ascii="宋体" w:hAnsi="宋体" w:cs="宋体"/>
                <w:color w:val="000000"/>
                <w:kern w:val="0"/>
                <w:szCs w:val="21"/>
              </w:rPr>
            </w:pPr>
            <w:r>
              <w:rPr>
                <w:rFonts w:ascii="宋体" w:hAnsi="宋体" w:cs="宋体"/>
                <w:color w:val="000000"/>
                <w:kern w:val="0"/>
                <w:szCs w:val="21"/>
              </w:rPr>
              <w:t>-</w:t>
            </w:r>
            <w:r>
              <w:rPr>
                <w:rFonts w:hint="eastAsia" w:ascii="宋体" w:hAnsi="宋体" w:cs="宋体"/>
                <w:color w:val="000000"/>
                <w:kern w:val="0"/>
                <w:szCs w:val="21"/>
              </w:rPr>
              <w:t>10.80%</w:t>
            </w:r>
          </w:p>
        </w:tc>
      </w:tr>
      <w:tr w14:paraId="6ED7727F">
        <w:tblPrEx>
          <w:tblCellMar>
            <w:top w:w="15" w:type="dxa"/>
            <w:left w:w="15" w:type="dxa"/>
            <w:bottom w:w="15" w:type="dxa"/>
            <w:right w:w="15" w:type="dxa"/>
          </w:tblCellMar>
        </w:tblPrEx>
        <w:trPr>
          <w:trHeight w:val="73" w:hRule="atLeast"/>
        </w:trPr>
        <w:tc>
          <w:tcPr>
            <w:tcW w:w="1858" w:type="dxa"/>
            <w:tcBorders>
              <w:top w:val="single" w:color="000000" w:sz="4" w:space="0"/>
              <w:left w:val="single" w:color="000000" w:sz="4" w:space="0"/>
              <w:bottom w:val="single" w:color="000000" w:sz="4" w:space="0"/>
              <w:right w:val="single" w:color="000000" w:sz="4" w:space="0"/>
            </w:tcBorders>
            <w:vAlign w:val="center"/>
          </w:tcPr>
          <w:p w14:paraId="4D145D36">
            <w:pPr>
              <w:jc w:val="center"/>
              <w:rPr>
                <w:rFonts w:ascii="宋体" w:hAnsi="宋体" w:cs="宋体"/>
                <w:color w:val="000000"/>
                <w:kern w:val="0"/>
                <w:szCs w:val="21"/>
              </w:rPr>
            </w:pPr>
            <w:r>
              <w:rPr>
                <w:rFonts w:hint="eastAsia" w:ascii="宋体" w:hAnsi="宋体" w:cs="宋体"/>
                <w:color w:val="000000"/>
                <w:kern w:val="0"/>
                <w:szCs w:val="21"/>
              </w:rPr>
              <w:t>Ⅱ</w:t>
            </w:r>
          </w:p>
        </w:tc>
        <w:tc>
          <w:tcPr>
            <w:tcW w:w="1858" w:type="dxa"/>
            <w:tcBorders>
              <w:top w:val="single" w:color="000000" w:sz="4" w:space="0"/>
              <w:left w:val="single" w:color="000000" w:sz="4" w:space="0"/>
              <w:bottom w:val="single" w:color="000000" w:sz="4" w:space="0"/>
              <w:right w:val="single" w:color="000000" w:sz="4" w:space="0"/>
            </w:tcBorders>
            <w:vAlign w:val="center"/>
          </w:tcPr>
          <w:p w14:paraId="33E1D30C">
            <w:pPr>
              <w:jc w:val="center"/>
              <w:rPr>
                <w:rFonts w:ascii="宋体" w:hAnsi="宋体" w:cs="宋体"/>
                <w:color w:val="000000"/>
                <w:kern w:val="0"/>
                <w:szCs w:val="21"/>
              </w:rPr>
            </w:pPr>
            <w:r>
              <w:rPr>
                <w:rFonts w:hint="eastAsia" w:ascii="宋体" w:hAnsi="宋体" w:cs="宋体"/>
                <w:color w:val="000000"/>
                <w:kern w:val="0"/>
                <w:szCs w:val="21"/>
              </w:rPr>
              <w:t>274</w:t>
            </w:r>
          </w:p>
        </w:tc>
        <w:tc>
          <w:tcPr>
            <w:tcW w:w="959" w:type="dxa"/>
            <w:tcBorders>
              <w:top w:val="single" w:color="000000" w:sz="4" w:space="0"/>
              <w:left w:val="single" w:color="000000" w:sz="4" w:space="0"/>
              <w:bottom w:val="single" w:color="000000" w:sz="4" w:space="0"/>
              <w:right w:val="single" w:color="000000" w:sz="4" w:space="0"/>
            </w:tcBorders>
            <w:vAlign w:val="center"/>
          </w:tcPr>
          <w:p w14:paraId="1FB281C4">
            <w:pPr>
              <w:jc w:val="center"/>
              <w:rPr>
                <w:rFonts w:ascii="宋体" w:hAnsi="宋体" w:cs="宋体"/>
                <w:color w:val="000000"/>
                <w:kern w:val="0"/>
                <w:szCs w:val="21"/>
              </w:rPr>
            </w:pPr>
            <w:r>
              <w:rPr>
                <w:rFonts w:hint="eastAsia" w:ascii="宋体" w:hAnsi="宋体" w:cs="宋体"/>
                <w:color w:val="000000"/>
                <w:kern w:val="0"/>
                <w:szCs w:val="21"/>
              </w:rPr>
              <w:t>304</w:t>
            </w:r>
          </w:p>
        </w:tc>
        <w:tc>
          <w:tcPr>
            <w:tcW w:w="959" w:type="dxa"/>
            <w:tcBorders>
              <w:top w:val="single" w:color="000000" w:sz="4" w:space="0"/>
              <w:left w:val="single" w:color="000000" w:sz="4" w:space="0"/>
              <w:bottom w:val="single" w:color="000000" w:sz="4" w:space="0"/>
              <w:right w:val="single" w:color="000000" w:sz="4" w:space="0"/>
            </w:tcBorders>
            <w:vAlign w:val="center"/>
          </w:tcPr>
          <w:p w14:paraId="29E69118">
            <w:pPr>
              <w:jc w:val="center"/>
              <w:rPr>
                <w:rFonts w:ascii="宋体" w:hAnsi="宋体" w:cs="宋体"/>
                <w:color w:val="000000"/>
                <w:kern w:val="0"/>
                <w:szCs w:val="21"/>
              </w:rPr>
            </w:pPr>
            <w:r>
              <w:rPr>
                <w:rFonts w:hint="eastAsia" w:ascii="宋体" w:hAnsi="宋体" w:cs="宋体"/>
                <w:color w:val="000000"/>
                <w:kern w:val="0"/>
                <w:szCs w:val="21"/>
              </w:rPr>
              <w:t>245</w:t>
            </w:r>
          </w:p>
        </w:tc>
        <w:tc>
          <w:tcPr>
            <w:tcW w:w="1331" w:type="dxa"/>
            <w:tcBorders>
              <w:top w:val="single" w:color="000000" w:sz="4" w:space="0"/>
              <w:left w:val="single" w:color="000000" w:sz="4" w:space="0"/>
              <w:bottom w:val="single" w:color="000000" w:sz="4" w:space="0"/>
              <w:right w:val="single" w:color="000000" w:sz="4" w:space="0"/>
            </w:tcBorders>
            <w:vAlign w:val="center"/>
          </w:tcPr>
          <w:p w14:paraId="54E344C5">
            <w:pPr>
              <w:jc w:val="center"/>
              <w:rPr>
                <w:rFonts w:ascii="宋体" w:hAnsi="宋体" w:cs="宋体"/>
                <w:color w:val="000000"/>
                <w:kern w:val="0"/>
                <w:szCs w:val="21"/>
              </w:rPr>
            </w:pPr>
            <w:r>
              <w:rPr>
                <w:rFonts w:hint="eastAsia" w:ascii="宋体" w:hAnsi="宋体" w:cs="宋体"/>
                <w:color w:val="000000"/>
                <w:kern w:val="0"/>
                <w:szCs w:val="21"/>
              </w:rPr>
              <w:t>11.30%</w:t>
            </w:r>
          </w:p>
        </w:tc>
        <w:tc>
          <w:tcPr>
            <w:tcW w:w="1331" w:type="dxa"/>
            <w:tcBorders>
              <w:top w:val="single" w:color="000000" w:sz="4" w:space="0"/>
              <w:left w:val="single" w:color="000000" w:sz="4" w:space="0"/>
              <w:bottom w:val="single" w:color="000000" w:sz="4" w:space="0"/>
              <w:right w:val="single" w:color="000000" w:sz="4" w:space="0"/>
            </w:tcBorders>
            <w:vAlign w:val="center"/>
          </w:tcPr>
          <w:p w14:paraId="00FA988E">
            <w:pPr>
              <w:jc w:val="center"/>
              <w:rPr>
                <w:rFonts w:ascii="宋体" w:hAnsi="宋体" w:cs="宋体"/>
                <w:color w:val="000000"/>
                <w:kern w:val="0"/>
                <w:szCs w:val="21"/>
              </w:rPr>
            </w:pPr>
            <w:r>
              <w:rPr>
                <w:rFonts w:ascii="宋体" w:hAnsi="宋体" w:cs="宋体"/>
                <w:color w:val="000000"/>
                <w:kern w:val="0"/>
                <w:szCs w:val="21"/>
              </w:rPr>
              <w:t>-</w:t>
            </w:r>
            <w:r>
              <w:rPr>
                <w:rFonts w:hint="eastAsia" w:ascii="宋体" w:hAnsi="宋体" w:cs="宋体"/>
                <w:color w:val="000000"/>
                <w:kern w:val="0"/>
                <w:szCs w:val="21"/>
              </w:rPr>
              <w:t>10.50%</w:t>
            </w:r>
          </w:p>
        </w:tc>
      </w:tr>
    </w:tbl>
    <w:p w14:paraId="06E20E05">
      <w:pPr>
        <w:pStyle w:val="4"/>
        <w:widowControl w:val="0"/>
        <w:tabs>
          <w:tab w:val="left" w:pos="720"/>
        </w:tabs>
        <w:spacing w:before="120" w:after="120" w:line="500" w:lineRule="exact"/>
        <w:ind w:left="826" w:hanging="826"/>
        <w:jc w:val="both"/>
        <w:rPr>
          <w:rFonts w:ascii="宋体" w:hAnsi="宋体"/>
          <w:sz w:val="24"/>
          <w:szCs w:val="24"/>
        </w:rPr>
      </w:pPr>
      <w:bookmarkStart w:id="247" w:name="_Toc535399963"/>
      <w:bookmarkStart w:id="248" w:name="_Toc47384652"/>
      <w:r>
        <w:rPr>
          <w:rFonts w:hint="eastAsia" w:ascii="宋体" w:hAnsi="宋体"/>
          <w:sz w:val="24"/>
          <w:szCs w:val="24"/>
        </w:rPr>
        <w:t>5</w:t>
      </w:r>
      <w:r>
        <w:rPr>
          <w:rFonts w:ascii="宋体" w:hAnsi="宋体"/>
          <w:sz w:val="24"/>
          <w:szCs w:val="24"/>
        </w:rPr>
        <w:t xml:space="preserve">.2.3 </w:t>
      </w:r>
      <w:r>
        <w:rPr>
          <w:rFonts w:hint="eastAsia" w:ascii="宋体" w:hAnsi="宋体"/>
          <w:sz w:val="24"/>
          <w:szCs w:val="24"/>
        </w:rPr>
        <w:t>因素修正系数值的计算及修正系数表及说明表的编制</w:t>
      </w:r>
      <w:bookmarkEnd w:id="247"/>
      <w:bookmarkEnd w:id="248"/>
    </w:p>
    <w:p w14:paraId="1194E84C">
      <w:pPr>
        <w:pStyle w:val="180"/>
        <w:ind w:firstLine="480"/>
      </w:pPr>
      <w:r>
        <w:rPr>
          <w:rFonts w:hint="eastAsia"/>
        </w:rPr>
        <w:t>（1）因素修正系数及指标说明表的编制</w:t>
      </w:r>
    </w:p>
    <w:p w14:paraId="724236ED">
      <w:pPr>
        <w:spacing w:line="500" w:lineRule="exact"/>
        <w:rPr>
          <w:sz w:val="24"/>
        </w:rPr>
      </w:pPr>
      <w:r>
        <w:rPr>
          <w:rFonts w:hint="eastAsia"/>
          <w:sz w:val="24"/>
        </w:rPr>
        <w:t>根据确定的影响用地价格的因素及其权重值，采用下式计算各因素的修正值，计算结果见表5-3。</w:t>
      </w:r>
    </w:p>
    <w:p w14:paraId="12257831">
      <w:pPr>
        <w:spacing w:line="500" w:lineRule="exact"/>
        <w:jc w:val="center"/>
        <w:rPr>
          <w:sz w:val="24"/>
        </w:rPr>
      </w:pPr>
      <w:r>
        <w:rPr>
          <w:rFonts w:hint="eastAsia"/>
          <w:sz w:val="24"/>
        </w:rPr>
        <w:t>F</w:t>
      </w:r>
      <w:r>
        <w:rPr>
          <w:rFonts w:hint="eastAsia"/>
          <w:sz w:val="24"/>
          <w:vertAlign w:val="subscript"/>
        </w:rPr>
        <w:t>li</w:t>
      </w:r>
      <w:r>
        <w:rPr>
          <w:rFonts w:hint="eastAsia"/>
          <w:sz w:val="24"/>
        </w:rPr>
        <w:t>=F</w:t>
      </w:r>
      <w:r>
        <w:rPr>
          <w:rFonts w:hint="eastAsia"/>
          <w:sz w:val="24"/>
          <w:vertAlign w:val="subscript"/>
        </w:rPr>
        <w:t>1</w:t>
      </w:r>
      <w:r>
        <w:rPr>
          <w:rFonts w:hint="eastAsia"/>
          <w:sz w:val="24"/>
        </w:rPr>
        <w:t>×W</w:t>
      </w:r>
      <w:r>
        <w:rPr>
          <w:rFonts w:hint="eastAsia"/>
          <w:sz w:val="24"/>
          <w:vertAlign w:val="subscript"/>
        </w:rPr>
        <w:t>i</w:t>
      </w:r>
    </w:p>
    <w:p w14:paraId="6BC49267">
      <w:pPr>
        <w:spacing w:line="500" w:lineRule="exact"/>
        <w:jc w:val="center"/>
        <w:rPr>
          <w:sz w:val="24"/>
        </w:rPr>
      </w:pPr>
      <w:r>
        <w:rPr>
          <w:rFonts w:hint="eastAsia"/>
          <w:sz w:val="24"/>
        </w:rPr>
        <w:t>F</w:t>
      </w:r>
      <w:r>
        <w:rPr>
          <w:rFonts w:hint="eastAsia"/>
          <w:sz w:val="24"/>
          <w:vertAlign w:val="subscript"/>
        </w:rPr>
        <w:t>2i</w:t>
      </w:r>
      <w:r>
        <w:rPr>
          <w:rFonts w:hint="eastAsia"/>
          <w:sz w:val="24"/>
        </w:rPr>
        <w:t>=F</w:t>
      </w:r>
      <w:r>
        <w:rPr>
          <w:rFonts w:hint="eastAsia"/>
          <w:sz w:val="24"/>
          <w:vertAlign w:val="subscript"/>
        </w:rPr>
        <w:t>2</w:t>
      </w:r>
      <w:r>
        <w:rPr>
          <w:rFonts w:hint="eastAsia"/>
          <w:sz w:val="24"/>
        </w:rPr>
        <w:t>×W</w:t>
      </w:r>
      <w:r>
        <w:rPr>
          <w:rFonts w:hint="eastAsia"/>
          <w:sz w:val="24"/>
          <w:vertAlign w:val="subscript"/>
        </w:rPr>
        <w:t>i</w:t>
      </w:r>
    </w:p>
    <w:p w14:paraId="2CCF99B5">
      <w:pPr>
        <w:spacing w:line="500" w:lineRule="exact"/>
        <w:ind w:firstLine="420" w:firstLineChars="200"/>
        <w:rPr>
          <w:sz w:val="24"/>
        </w:rPr>
      </w:pPr>
      <w:r>
        <w:t>式中：</w:t>
      </w:r>
      <w:r>
        <w:rPr>
          <w:rFonts w:hint="eastAsia"/>
          <w:sz w:val="24"/>
        </w:rPr>
        <w:t>F</w:t>
      </w:r>
      <w:r>
        <w:rPr>
          <w:rFonts w:hint="eastAsia"/>
          <w:sz w:val="24"/>
          <w:vertAlign w:val="subscript"/>
        </w:rPr>
        <w:t>1i</w:t>
      </w:r>
      <w:r>
        <w:rPr>
          <w:sz w:val="24"/>
        </w:rPr>
        <w:t>—某一因素的上调最大幅度</w:t>
      </w:r>
      <w:r>
        <w:rPr>
          <w:rFonts w:hint="eastAsia"/>
          <w:sz w:val="24"/>
        </w:rPr>
        <w:t>；</w:t>
      </w:r>
    </w:p>
    <w:p w14:paraId="760EB657">
      <w:pPr>
        <w:spacing w:line="500" w:lineRule="exact"/>
        <w:ind w:firstLine="1080" w:firstLineChars="450"/>
        <w:rPr>
          <w:sz w:val="24"/>
        </w:rPr>
      </w:pPr>
      <w:r>
        <w:rPr>
          <w:rFonts w:hint="eastAsia"/>
          <w:sz w:val="24"/>
        </w:rPr>
        <w:t>F</w:t>
      </w:r>
      <w:r>
        <w:rPr>
          <w:rFonts w:hint="eastAsia"/>
          <w:sz w:val="24"/>
          <w:vertAlign w:val="subscript"/>
        </w:rPr>
        <w:t>2i</w:t>
      </w:r>
      <w:r>
        <w:rPr>
          <w:sz w:val="24"/>
        </w:rPr>
        <w:t>—某一因素的下调最大幅度</w:t>
      </w:r>
      <w:r>
        <w:rPr>
          <w:rFonts w:hint="eastAsia"/>
          <w:sz w:val="24"/>
        </w:rPr>
        <w:t>；</w:t>
      </w:r>
    </w:p>
    <w:p w14:paraId="297F81B5">
      <w:pPr>
        <w:spacing w:line="500" w:lineRule="exact"/>
        <w:ind w:firstLine="1080" w:firstLineChars="450"/>
        <w:rPr>
          <w:rFonts w:eastAsia="Times New Roman"/>
          <w:sz w:val="24"/>
        </w:rPr>
      </w:pPr>
      <w:r>
        <w:rPr>
          <w:rFonts w:hint="eastAsia"/>
          <w:sz w:val="24"/>
        </w:rPr>
        <w:t>W</w:t>
      </w:r>
      <w:r>
        <w:rPr>
          <w:rFonts w:hint="eastAsia"/>
          <w:sz w:val="24"/>
          <w:vertAlign w:val="subscript"/>
        </w:rPr>
        <w:t>i</w:t>
      </w:r>
      <w:r>
        <w:rPr>
          <w:sz w:val="24"/>
        </w:rPr>
        <w:t>—某一因素对宗地地价的影响权重</w:t>
      </w:r>
      <w:r>
        <w:rPr>
          <w:rFonts w:hint="eastAsia"/>
          <w:sz w:val="24"/>
        </w:rPr>
        <w:t>。</w:t>
      </w:r>
    </w:p>
    <w:p w14:paraId="1D7BAB52">
      <w:pPr>
        <w:spacing w:line="500" w:lineRule="exact"/>
        <w:ind w:firstLine="480" w:firstLineChars="200"/>
        <w:rPr>
          <w:sz w:val="24"/>
        </w:rPr>
      </w:pPr>
      <w:r>
        <w:rPr>
          <w:sz w:val="24"/>
        </w:rPr>
        <w:t>以基准地价为一般水平，其修正系数为零。在一般水平与上限价格之间，内插条件较优的修正系数为F</w:t>
      </w:r>
      <w:r>
        <w:rPr>
          <w:sz w:val="24"/>
          <w:vertAlign w:val="subscript"/>
        </w:rPr>
        <w:t>1i</w:t>
      </w:r>
      <w:r>
        <w:rPr>
          <w:sz w:val="24"/>
        </w:rPr>
        <w:t>/2，在一般水平与下限价格之间，内插条件较劣的修正系数为F</w:t>
      </w:r>
      <w:r>
        <w:rPr>
          <w:sz w:val="24"/>
          <w:vertAlign w:val="subscript"/>
        </w:rPr>
        <w:t>2i</w:t>
      </w:r>
      <w:r>
        <w:rPr>
          <w:sz w:val="24"/>
        </w:rPr>
        <w:t>/2。</w:t>
      </w:r>
    </w:p>
    <w:p w14:paraId="28BDA6F2">
      <w:pPr>
        <w:spacing w:line="500" w:lineRule="exact"/>
        <w:ind w:firstLine="480" w:firstLineChars="200"/>
        <w:rPr>
          <w:sz w:val="24"/>
        </w:rPr>
      </w:pPr>
    </w:p>
    <w:p w14:paraId="7ADFF6B6">
      <w:pPr>
        <w:ind w:firstLine="422"/>
        <w:jc w:val="center"/>
        <w:rPr>
          <w:b/>
          <w:szCs w:val="21"/>
        </w:rPr>
      </w:pPr>
      <w:r>
        <w:rPr>
          <w:rFonts w:hint="eastAsia"/>
          <w:b/>
          <w:szCs w:val="21"/>
        </w:rPr>
        <w:t>5-3 Ⅰ级国有农用地宗地价区域修正系数表</w:t>
      </w:r>
    </w:p>
    <w:tbl>
      <w:tblPr>
        <w:tblStyle w:val="39"/>
        <w:tblW w:w="8506" w:type="dxa"/>
        <w:tblInd w:w="-5" w:type="dxa"/>
        <w:tblLayout w:type="fixed"/>
        <w:tblCellMar>
          <w:top w:w="15" w:type="dxa"/>
          <w:left w:w="15" w:type="dxa"/>
          <w:bottom w:w="15" w:type="dxa"/>
          <w:right w:w="15" w:type="dxa"/>
        </w:tblCellMar>
      </w:tblPr>
      <w:tblGrid>
        <w:gridCol w:w="1704"/>
        <w:gridCol w:w="990"/>
        <w:gridCol w:w="990"/>
        <w:gridCol w:w="1031"/>
        <w:gridCol w:w="1381"/>
        <w:gridCol w:w="1276"/>
        <w:gridCol w:w="1134"/>
      </w:tblGrid>
      <w:tr w14:paraId="4F804372">
        <w:tblPrEx>
          <w:tblCellMar>
            <w:top w:w="15" w:type="dxa"/>
            <w:left w:w="15" w:type="dxa"/>
            <w:bottom w:w="15" w:type="dxa"/>
            <w:right w:w="15" w:type="dxa"/>
          </w:tblCellMar>
        </w:tblPrEx>
        <w:trPr>
          <w:trHeight w:val="284" w:hRule="atLeast"/>
        </w:trPr>
        <w:tc>
          <w:tcPr>
            <w:tcW w:w="1704" w:type="dxa"/>
            <w:tcBorders>
              <w:top w:val="single" w:color="000000" w:sz="4" w:space="0"/>
              <w:left w:val="single" w:color="000000" w:sz="4" w:space="0"/>
              <w:bottom w:val="single" w:color="000000" w:sz="4" w:space="0"/>
              <w:right w:val="single" w:color="000000" w:sz="4" w:space="0"/>
            </w:tcBorders>
          </w:tcPr>
          <w:p w14:paraId="386F871E">
            <w:pPr>
              <w:jc w:val="center"/>
              <w:rPr>
                <w:rFonts w:ascii="宋体" w:hAnsi="宋体" w:cs="宋体"/>
                <w:color w:val="000000"/>
                <w:kern w:val="0"/>
                <w:szCs w:val="21"/>
              </w:rPr>
            </w:pPr>
            <w:r>
              <w:rPr>
                <w:rFonts w:hint="eastAsia" w:ascii="宋体" w:hAnsi="宋体" w:cs="宋体"/>
                <w:color w:val="000000"/>
                <w:kern w:val="0"/>
                <w:szCs w:val="21"/>
              </w:rPr>
              <w:t>定级因子</w:t>
            </w:r>
          </w:p>
        </w:tc>
        <w:tc>
          <w:tcPr>
            <w:tcW w:w="990" w:type="dxa"/>
            <w:tcBorders>
              <w:top w:val="single" w:color="000000" w:sz="4" w:space="0"/>
              <w:left w:val="single" w:color="000000" w:sz="4" w:space="0"/>
              <w:bottom w:val="single" w:color="000000" w:sz="4" w:space="0"/>
              <w:right w:val="single" w:color="000000" w:sz="4" w:space="0"/>
            </w:tcBorders>
          </w:tcPr>
          <w:p w14:paraId="5FF1AD25">
            <w:pPr>
              <w:jc w:val="center"/>
              <w:rPr>
                <w:rFonts w:ascii="宋体" w:hAnsi="宋体" w:cs="宋体"/>
                <w:color w:val="000000"/>
                <w:kern w:val="0"/>
                <w:szCs w:val="21"/>
              </w:rPr>
            </w:pPr>
            <w:r>
              <w:rPr>
                <w:rFonts w:hint="eastAsia" w:ascii="宋体" w:hAnsi="宋体" w:cs="宋体"/>
                <w:color w:val="000000"/>
                <w:kern w:val="0"/>
                <w:szCs w:val="21"/>
              </w:rPr>
              <w:t>权重</w:t>
            </w:r>
          </w:p>
        </w:tc>
        <w:tc>
          <w:tcPr>
            <w:tcW w:w="990" w:type="dxa"/>
            <w:tcBorders>
              <w:top w:val="single" w:color="000000" w:sz="4" w:space="0"/>
              <w:left w:val="single" w:color="000000" w:sz="4" w:space="0"/>
              <w:bottom w:val="single" w:color="000000" w:sz="4" w:space="0"/>
              <w:right w:val="single" w:color="000000" w:sz="4" w:space="0"/>
            </w:tcBorders>
            <w:vAlign w:val="center"/>
          </w:tcPr>
          <w:p w14:paraId="64161797">
            <w:pPr>
              <w:jc w:val="center"/>
              <w:rPr>
                <w:rFonts w:ascii="宋体" w:hAnsi="宋体" w:cs="宋体"/>
                <w:color w:val="000000"/>
                <w:kern w:val="0"/>
                <w:szCs w:val="21"/>
              </w:rPr>
            </w:pPr>
            <w:r>
              <w:rPr>
                <w:rFonts w:hint="eastAsia" w:ascii="宋体" w:hAnsi="宋体" w:cs="宋体"/>
                <w:color w:val="000000"/>
                <w:kern w:val="0"/>
                <w:szCs w:val="21"/>
              </w:rPr>
              <w:t>优</w:t>
            </w:r>
          </w:p>
        </w:tc>
        <w:tc>
          <w:tcPr>
            <w:tcW w:w="1031" w:type="dxa"/>
            <w:tcBorders>
              <w:top w:val="single" w:color="000000" w:sz="4" w:space="0"/>
              <w:left w:val="single" w:color="000000" w:sz="4" w:space="0"/>
              <w:bottom w:val="single" w:color="000000" w:sz="4" w:space="0"/>
              <w:right w:val="single" w:color="000000" w:sz="4" w:space="0"/>
            </w:tcBorders>
            <w:vAlign w:val="center"/>
          </w:tcPr>
          <w:p w14:paraId="383FAEA2">
            <w:pPr>
              <w:jc w:val="center"/>
              <w:rPr>
                <w:rFonts w:ascii="宋体" w:hAnsi="宋体" w:cs="宋体"/>
                <w:color w:val="000000"/>
                <w:kern w:val="0"/>
                <w:szCs w:val="21"/>
              </w:rPr>
            </w:pPr>
            <w:r>
              <w:rPr>
                <w:rFonts w:hint="eastAsia" w:ascii="宋体" w:hAnsi="宋体" w:cs="宋体"/>
                <w:color w:val="000000"/>
                <w:kern w:val="0"/>
                <w:szCs w:val="21"/>
              </w:rPr>
              <w:t>较优</w:t>
            </w:r>
          </w:p>
        </w:tc>
        <w:tc>
          <w:tcPr>
            <w:tcW w:w="1381" w:type="dxa"/>
            <w:tcBorders>
              <w:top w:val="single" w:color="000000" w:sz="4" w:space="0"/>
              <w:left w:val="single" w:color="000000" w:sz="4" w:space="0"/>
              <w:bottom w:val="single" w:color="000000" w:sz="4" w:space="0"/>
              <w:right w:val="single" w:color="000000" w:sz="4" w:space="0"/>
            </w:tcBorders>
            <w:vAlign w:val="center"/>
          </w:tcPr>
          <w:p w14:paraId="35CB695E">
            <w:pPr>
              <w:jc w:val="center"/>
              <w:rPr>
                <w:rFonts w:ascii="宋体" w:hAnsi="宋体" w:cs="宋体"/>
                <w:color w:val="000000"/>
                <w:kern w:val="0"/>
                <w:szCs w:val="21"/>
              </w:rPr>
            </w:pPr>
            <w:r>
              <w:rPr>
                <w:rFonts w:hint="eastAsia" w:ascii="宋体" w:hAnsi="宋体" w:cs="宋体"/>
                <w:color w:val="000000"/>
                <w:kern w:val="0"/>
                <w:szCs w:val="21"/>
              </w:rPr>
              <w:t>一般</w:t>
            </w:r>
          </w:p>
        </w:tc>
        <w:tc>
          <w:tcPr>
            <w:tcW w:w="1276" w:type="dxa"/>
            <w:tcBorders>
              <w:top w:val="single" w:color="000000" w:sz="4" w:space="0"/>
              <w:left w:val="single" w:color="000000" w:sz="4" w:space="0"/>
              <w:bottom w:val="single" w:color="000000" w:sz="4" w:space="0"/>
              <w:right w:val="single" w:color="000000" w:sz="4" w:space="0"/>
            </w:tcBorders>
            <w:vAlign w:val="center"/>
          </w:tcPr>
          <w:p w14:paraId="5E2F93B6">
            <w:pPr>
              <w:jc w:val="center"/>
              <w:rPr>
                <w:rFonts w:ascii="宋体" w:hAnsi="宋体" w:cs="宋体"/>
                <w:color w:val="000000"/>
                <w:kern w:val="0"/>
                <w:szCs w:val="21"/>
              </w:rPr>
            </w:pPr>
            <w:r>
              <w:rPr>
                <w:rFonts w:hint="eastAsia" w:ascii="宋体" w:hAnsi="宋体" w:cs="宋体"/>
                <w:color w:val="000000"/>
                <w:kern w:val="0"/>
                <w:szCs w:val="21"/>
              </w:rPr>
              <w:t>较劣</w:t>
            </w:r>
          </w:p>
        </w:tc>
        <w:tc>
          <w:tcPr>
            <w:tcW w:w="1134" w:type="dxa"/>
            <w:tcBorders>
              <w:top w:val="single" w:color="000000" w:sz="4" w:space="0"/>
              <w:left w:val="single" w:color="000000" w:sz="4" w:space="0"/>
              <w:bottom w:val="single" w:color="000000" w:sz="4" w:space="0"/>
              <w:right w:val="single" w:color="000000" w:sz="4" w:space="0"/>
            </w:tcBorders>
            <w:vAlign w:val="center"/>
          </w:tcPr>
          <w:p w14:paraId="7D9BC584">
            <w:pPr>
              <w:jc w:val="center"/>
              <w:rPr>
                <w:rFonts w:ascii="宋体" w:hAnsi="宋体" w:cs="宋体"/>
                <w:color w:val="000000"/>
                <w:kern w:val="0"/>
                <w:szCs w:val="21"/>
              </w:rPr>
            </w:pPr>
            <w:r>
              <w:rPr>
                <w:rFonts w:hint="eastAsia" w:ascii="宋体" w:hAnsi="宋体" w:cs="宋体"/>
                <w:color w:val="000000"/>
                <w:kern w:val="0"/>
                <w:szCs w:val="21"/>
              </w:rPr>
              <w:t>劣</w:t>
            </w:r>
          </w:p>
        </w:tc>
      </w:tr>
      <w:tr w14:paraId="0090991D">
        <w:tblPrEx>
          <w:tblCellMar>
            <w:top w:w="15" w:type="dxa"/>
            <w:left w:w="15" w:type="dxa"/>
            <w:bottom w:w="15" w:type="dxa"/>
            <w:right w:w="15" w:type="dxa"/>
          </w:tblCellMar>
        </w:tblPrEx>
        <w:trPr>
          <w:trHeight w:val="284" w:hRule="atLeast"/>
        </w:trPr>
        <w:tc>
          <w:tcPr>
            <w:tcW w:w="1704" w:type="dxa"/>
            <w:tcBorders>
              <w:top w:val="single" w:color="000000" w:sz="4" w:space="0"/>
              <w:left w:val="single" w:color="000000" w:sz="4" w:space="0"/>
              <w:bottom w:val="single" w:color="000000" w:sz="4" w:space="0"/>
              <w:right w:val="single" w:color="000000" w:sz="4" w:space="0"/>
            </w:tcBorders>
          </w:tcPr>
          <w:p w14:paraId="30C1DBF7">
            <w:pPr>
              <w:jc w:val="center"/>
              <w:rPr>
                <w:rFonts w:ascii="宋体" w:hAnsi="宋体" w:cs="宋体"/>
                <w:color w:val="000000"/>
                <w:kern w:val="0"/>
                <w:szCs w:val="21"/>
              </w:rPr>
            </w:pPr>
            <w:r>
              <w:rPr>
                <w:rFonts w:hint="eastAsia" w:ascii="宋体" w:hAnsi="宋体" w:cs="宋体"/>
                <w:color w:val="000000"/>
                <w:kern w:val="0"/>
                <w:szCs w:val="21"/>
              </w:rPr>
              <w:t>海拔高度</w:t>
            </w:r>
          </w:p>
        </w:tc>
        <w:tc>
          <w:tcPr>
            <w:tcW w:w="990" w:type="dxa"/>
            <w:tcBorders>
              <w:top w:val="single" w:color="000000" w:sz="4" w:space="0"/>
              <w:left w:val="single" w:color="000000" w:sz="4" w:space="0"/>
              <w:bottom w:val="single" w:color="000000" w:sz="4" w:space="0"/>
              <w:right w:val="single" w:color="000000" w:sz="4" w:space="0"/>
            </w:tcBorders>
          </w:tcPr>
          <w:p w14:paraId="2709EA39">
            <w:pPr>
              <w:jc w:val="center"/>
              <w:rPr>
                <w:rFonts w:ascii="宋体" w:hAnsi="宋体" w:cs="宋体"/>
                <w:color w:val="000000"/>
                <w:kern w:val="0"/>
                <w:szCs w:val="21"/>
              </w:rPr>
            </w:pPr>
            <w:r>
              <w:rPr>
                <w:rFonts w:hint="eastAsia" w:ascii="宋体" w:hAnsi="宋体" w:cs="宋体"/>
                <w:color w:val="000000"/>
                <w:kern w:val="0"/>
                <w:szCs w:val="21"/>
              </w:rPr>
              <w:t>0.050</w:t>
            </w:r>
          </w:p>
        </w:tc>
        <w:tc>
          <w:tcPr>
            <w:tcW w:w="990" w:type="dxa"/>
            <w:tcBorders>
              <w:top w:val="single" w:color="000000" w:sz="4" w:space="0"/>
              <w:left w:val="single" w:color="000000" w:sz="4" w:space="0"/>
              <w:bottom w:val="single" w:color="000000" w:sz="4" w:space="0"/>
              <w:right w:val="single" w:color="000000" w:sz="4" w:space="0"/>
            </w:tcBorders>
            <w:vAlign w:val="center"/>
          </w:tcPr>
          <w:p w14:paraId="338525ED">
            <w:pPr>
              <w:jc w:val="center"/>
              <w:rPr>
                <w:rFonts w:ascii="宋体" w:hAnsi="宋体" w:cs="宋体"/>
                <w:color w:val="000000"/>
                <w:kern w:val="0"/>
                <w:szCs w:val="21"/>
              </w:rPr>
            </w:pPr>
            <w:r>
              <w:rPr>
                <w:rFonts w:hint="eastAsia" w:ascii="宋体" w:hAnsi="宋体" w:cs="宋体"/>
                <w:color w:val="000000"/>
                <w:kern w:val="0"/>
                <w:szCs w:val="21"/>
              </w:rPr>
              <w:t>0.570</w:t>
            </w:r>
          </w:p>
        </w:tc>
        <w:tc>
          <w:tcPr>
            <w:tcW w:w="1031" w:type="dxa"/>
            <w:tcBorders>
              <w:top w:val="single" w:color="000000" w:sz="4" w:space="0"/>
              <w:left w:val="single" w:color="000000" w:sz="4" w:space="0"/>
              <w:bottom w:val="single" w:color="000000" w:sz="4" w:space="0"/>
              <w:right w:val="single" w:color="000000" w:sz="4" w:space="0"/>
            </w:tcBorders>
            <w:vAlign w:val="center"/>
          </w:tcPr>
          <w:p w14:paraId="734CB51B">
            <w:pPr>
              <w:jc w:val="center"/>
              <w:rPr>
                <w:rFonts w:ascii="宋体" w:hAnsi="宋体" w:cs="宋体"/>
                <w:color w:val="000000"/>
                <w:kern w:val="0"/>
                <w:szCs w:val="21"/>
              </w:rPr>
            </w:pPr>
            <w:r>
              <w:rPr>
                <w:rFonts w:hint="eastAsia" w:ascii="宋体" w:hAnsi="宋体" w:cs="宋体"/>
                <w:color w:val="000000"/>
                <w:kern w:val="0"/>
                <w:szCs w:val="21"/>
              </w:rPr>
              <w:t>0.285</w:t>
            </w:r>
          </w:p>
        </w:tc>
        <w:tc>
          <w:tcPr>
            <w:tcW w:w="1381" w:type="dxa"/>
            <w:tcBorders>
              <w:top w:val="single" w:color="000000" w:sz="4" w:space="0"/>
              <w:left w:val="single" w:color="000000" w:sz="4" w:space="0"/>
              <w:bottom w:val="single" w:color="000000" w:sz="4" w:space="0"/>
              <w:right w:val="single" w:color="000000" w:sz="4" w:space="0"/>
            </w:tcBorders>
            <w:vAlign w:val="center"/>
          </w:tcPr>
          <w:p w14:paraId="584A33E2">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07DCCF29">
            <w:pPr>
              <w:jc w:val="center"/>
              <w:rPr>
                <w:rFonts w:ascii="宋体" w:hAnsi="宋体" w:cs="宋体"/>
                <w:color w:val="000000"/>
                <w:kern w:val="0"/>
                <w:szCs w:val="21"/>
              </w:rPr>
            </w:pPr>
            <w:r>
              <w:rPr>
                <w:rFonts w:hint="eastAsia" w:ascii="宋体" w:hAnsi="宋体" w:cs="宋体"/>
                <w:color w:val="000000"/>
                <w:kern w:val="0"/>
                <w:szCs w:val="21"/>
              </w:rPr>
              <w:t>-0.270</w:t>
            </w:r>
          </w:p>
        </w:tc>
        <w:tc>
          <w:tcPr>
            <w:tcW w:w="1134" w:type="dxa"/>
            <w:tcBorders>
              <w:top w:val="single" w:color="000000" w:sz="4" w:space="0"/>
              <w:left w:val="single" w:color="000000" w:sz="4" w:space="0"/>
              <w:bottom w:val="single" w:color="000000" w:sz="4" w:space="0"/>
              <w:right w:val="single" w:color="000000" w:sz="4" w:space="0"/>
            </w:tcBorders>
            <w:vAlign w:val="center"/>
          </w:tcPr>
          <w:p w14:paraId="32A39891">
            <w:pPr>
              <w:jc w:val="center"/>
              <w:rPr>
                <w:rFonts w:ascii="宋体" w:hAnsi="宋体" w:cs="宋体"/>
                <w:color w:val="000000"/>
                <w:kern w:val="0"/>
                <w:szCs w:val="21"/>
              </w:rPr>
            </w:pPr>
            <w:r>
              <w:rPr>
                <w:rFonts w:hint="eastAsia" w:ascii="宋体" w:hAnsi="宋体" w:cs="宋体"/>
                <w:color w:val="000000"/>
                <w:kern w:val="0"/>
                <w:szCs w:val="21"/>
              </w:rPr>
              <w:t>-0.540</w:t>
            </w:r>
          </w:p>
        </w:tc>
      </w:tr>
      <w:tr w14:paraId="57C77C9C">
        <w:tblPrEx>
          <w:tblCellMar>
            <w:top w:w="15" w:type="dxa"/>
            <w:left w:w="15" w:type="dxa"/>
            <w:bottom w:w="15" w:type="dxa"/>
            <w:right w:w="15" w:type="dxa"/>
          </w:tblCellMar>
        </w:tblPrEx>
        <w:trPr>
          <w:trHeight w:val="293" w:hRule="atLeast"/>
        </w:trPr>
        <w:tc>
          <w:tcPr>
            <w:tcW w:w="1704" w:type="dxa"/>
            <w:tcBorders>
              <w:top w:val="single" w:color="000000" w:sz="4" w:space="0"/>
              <w:left w:val="single" w:color="000000" w:sz="4" w:space="0"/>
              <w:bottom w:val="single" w:color="000000" w:sz="4" w:space="0"/>
              <w:right w:val="single" w:color="000000" w:sz="4" w:space="0"/>
            </w:tcBorders>
          </w:tcPr>
          <w:p w14:paraId="02F1333A">
            <w:pPr>
              <w:jc w:val="center"/>
              <w:rPr>
                <w:rFonts w:ascii="宋体" w:hAnsi="宋体" w:cs="宋体"/>
                <w:color w:val="000000"/>
                <w:kern w:val="0"/>
                <w:szCs w:val="21"/>
              </w:rPr>
            </w:pPr>
            <w:r>
              <w:rPr>
                <w:rFonts w:hint="eastAsia" w:ascii="宋体" w:hAnsi="宋体" w:cs="宋体"/>
                <w:color w:val="000000"/>
                <w:kern w:val="0"/>
                <w:szCs w:val="21"/>
              </w:rPr>
              <w:t>土壤有机质含量</w:t>
            </w:r>
          </w:p>
        </w:tc>
        <w:tc>
          <w:tcPr>
            <w:tcW w:w="990" w:type="dxa"/>
            <w:tcBorders>
              <w:top w:val="single" w:color="000000" w:sz="4" w:space="0"/>
              <w:left w:val="single" w:color="000000" w:sz="4" w:space="0"/>
              <w:bottom w:val="single" w:color="000000" w:sz="4" w:space="0"/>
              <w:right w:val="single" w:color="000000" w:sz="4" w:space="0"/>
            </w:tcBorders>
            <w:vAlign w:val="center"/>
          </w:tcPr>
          <w:p w14:paraId="7C113A97">
            <w:pPr>
              <w:jc w:val="center"/>
              <w:rPr>
                <w:rFonts w:ascii="宋体" w:hAnsi="宋体" w:cs="宋体"/>
                <w:color w:val="000000"/>
                <w:kern w:val="0"/>
                <w:szCs w:val="21"/>
              </w:rPr>
            </w:pPr>
            <w:r>
              <w:rPr>
                <w:rFonts w:hint="eastAsia" w:ascii="宋体" w:hAnsi="宋体" w:cs="宋体"/>
                <w:color w:val="000000"/>
                <w:kern w:val="0"/>
                <w:szCs w:val="21"/>
              </w:rPr>
              <w:t>0.154</w:t>
            </w:r>
          </w:p>
        </w:tc>
        <w:tc>
          <w:tcPr>
            <w:tcW w:w="990" w:type="dxa"/>
            <w:tcBorders>
              <w:top w:val="single" w:color="000000" w:sz="4" w:space="0"/>
              <w:left w:val="single" w:color="000000" w:sz="4" w:space="0"/>
              <w:bottom w:val="single" w:color="000000" w:sz="4" w:space="0"/>
              <w:right w:val="single" w:color="000000" w:sz="4" w:space="0"/>
            </w:tcBorders>
            <w:vAlign w:val="center"/>
          </w:tcPr>
          <w:p w14:paraId="66CCC0D2">
            <w:pPr>
              <w:jc w:val="center"/>
              <w:rPr>
                <w:rFonts w:ascii="宋体" w:hAnsi="宋体" w:cs="宋体"/>
                <w:color w:val="000000"/>
                <w:kern w:val="0"/>
                <w:szCs w:val="21"/>
              </w:rPr>
            </w:pPr>
            <w:r>
              <w:rPr>
                <w:rFonts w:hint="eastAsia" w:ascii="宋体" w:hAnsi="宋体" w:cs="宋体"/>
                <w:color w:val="000000"/>
                <w:kern w:val="0"/>
                <w:szCs w:val="21"/>
              </w:rPr>
              <w:t>1.756</w:t>
            </w:r>
          </w:p>
        </w:tc>
        <w:tc>
          <w:tcPr>
            <w:tcW w:w="1031" w:type="dxa"/>
            <w:tcBorders>
              <w:top w:val="single" w:color="000000" w:sz="4" w:space="0"/>
              <w:left w:val="single" w:color="000000" w:sz="4" w:space="0"/>
              <w:bottom w:val="single" w:color="000000" w:sz="4" w:space="0"/>
              <w:right w:val="single" w:color="000000" w:sz="4" w:space="0"/>
            </w:tcBorders>
            <w:vAlign w:val="center"/>
          </w:tcPr>
          <w:p w14:paraId="43B0F11A">
            <w:pPr>
              <w:jc w:val="center"/>
              <w:rPr>
                <w:rFonts w:ascii="宋体" w:hAnsi="宋体" w:cs="宋体"/>
                <w:color w:val="000000"/>
                <w:kern w:val="0"/>
                <w:szCs w:val="21"/>
              </w:rPr>
            </w:pPr>
            <w:r>
              <w:rPr>
                <w:rFonts w:hint="eastAsia" w:ascii="宋体" w:hAnsi="宋体" w:cs="宋体"/>
                <w:color w:val="000000"/>
                <w:kern w:val="0"/>
                <w:szCs w:val="21"/>
              </w:rPr>
              <w:t>0.878</w:t>
            </w:r>
          </w:p>
        </w:tc>
        <w:tc>
          <w:tcPr>
            <w:tcW w:w="1381" w:type="dxa"/>
            <w:tcBorders>
              <w:top w:val="single" w:color="000000" w:sz="4" w:space="0"/>
              <w:left w:val="single" w:color="000000" w:sz="4" w:space="0"/>
              <w:bottom w:val="single" w:color="000000" w:sz="4" w:space="0"/>
              <w:right w:val="single" w:color="000000" w:sz="4" w:space="0"/>
            </w:tcBorders>
            <w:vAlign w:val="center"/>
          </w:tcPr>
          <w:p w14:paraId="10F8D2E7">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698038B4">
            <w:pPr>
              <w:jc w:val="center"/>
              <w:rPr>
                <w:rFonts w:ascii="宋体" w:hAnsi="宋体" w:cs="宋体"/>
                <w:color w:val="000000"/>
                <w:kern w:val="0"/>
                <w:szCs w:val="21"/>
              </w:rPr>
            </w:pPr>
            <w:r>
              <w:rPr>
                <w:rFonts w:hint="eastAsia" w:ascii="宋体" w:hAnsi="宋体" w:cs="宋体"/>
                <w:color w:val="000000"/>
                <w:kern w:val="0"/>
                <w:szCs w:val="21"/>
              </w:rPr>
              <w:t>-0.832</w:t>
            </w:r>
          </w:p>
        </w:tc>
        <w:tc>
          <w:tcPr>
            <w:tcW w:w="1134" w:type="dxa"/>
            <w:tcBorders>
              <w:top w:val="single" w:color="000000" w:sz="4" w:space="0"/>
              <w:left w:val="single" w:color="000000" w:sz="4" w:space="0"/>
              <w:bottom w:val="single" w:color="000000" w:sz="4" w:space="0"/>
              <w:right w:val="single" w:color="000000" w:sz="4" w:space="0"/>
            </w:tcBorders>
            <w:vAlign w:val="center"/>
          </w:tcPr>
          <w:p w14:paraId="320894B8">
            <w:pPr>
              <w:jc w:val="center"/>
              <w:rPr>
                <w:rFonts w:ascii="宋体" w:hAnsi="宋体" w:cs="宋体"/>
                <w:color w:val="000000"/>
                <w:kern w:val="0"/>
                <w:szCs w:val="21"/>
              </w:rPr>
            </w:pPr>
            <w:r>
              <w:rPr>
                <w:rFonts w:hint="eastAsia" w:ascii="宋体" w:hAnsi="宋体" w:cs="宋体"/>
                <w:color w:val="000000"/>
                <w:kern w:val="0"/>
                <w:szCs w:val="21"/>
              </w:rPr>
              <w:t>-1.663</w:t>
            </w:r>
          </w:p>
        </w:tc>
      </w:tr>
      <w:tr w14:paraId="767A5413">
        <w:tblPrEx>
          <w:tblCellMar>
            <w:top w:w="15" w:type="dxa"/>
            <w:left w:w="15" w:type="dxa"/>
            <w:bottom w:w="15" w:type="dxa"/>
            <w:right w:w="15" w:type="dxa"/>
          </w:tblCellMar>
        </w:tblPrEx>
        <w:trPr>
          <w:trHeight w:val="260" w:hRule="atLeast"/>
        </w:trPr>
        <w:tc>
          <w:tcPr>
            <w:tcW w:w="1704" w:type="dxa"/>
            <w:tcBorders>
              <w:top w:val="single" w:color="000000" w:sz="4" w:space="0"/>
              <w:left w:val="single" w:color="000000" w:sz="4" w:space="0"/>
              <w:bottom w:val="single" w:color="000000" w:sz="4" w:space="0"/>
              <w:right w:val="single" w:color="000000" w:sz="4" w:space="0"/>
            </w:tcBorders>
          </w:tcPr>
          <w:p w14:paraId="597F7129">
            <w:pPr>
              <w:jc w:val="center"/>
              <w:rPr>
                <w:rFonts w:ascii="宋体" w:hAnsi="宋体" w:cs="宋体"/>
                <w:color w:val="000000"/>
                <w:kern w:val="0"/>
                <w:szCs w:val="21"/>
              </w:rPr>
            </w:pPr>
            <w:r>
              <w:rPr>
                <w:rFonts w:hint="eastAsia" w:ascii="宋体" w:hAnsi="宋体" w:cs="宋体"/>
                <w:color w:val="000000"/>
                <w:kern w:val="0"/>
                <w:szCs w:val="21"/>
              </w:rPr>
              <w:t>土壤剖面构型</w:t>
            </w:r>
          </w:p>
        </w:tc>
        <w:tc>
          <w:tcPr>
            <w:tcW w:w="990" w:type="dxa"/>
            <w:tcBorders>
              <w:top w:val="single" w:color="000000" w:sz="4" w:space="0"/>
              <w:left w:val="single" w:color="000000" w:sz="4" w:space="0"/>
              <w:bottom w:val="single" w:color="000000" w:sz="4" w:space="0"/>
              <w:right w:val="single" w:color="000000" w:sz="4" w:space="0"/>
            </w:tcBorders>
            <w:vAlign w:val="center"/>
          </w:tcPr>
          <w:p w14:paraId="342E050C">
            <w:pPr>
              <w:jc w:val="center"/>
              <w:rPr>
                <w:rFonts w:ascii="宋体" w:hAnsi="宋体" w:cs="宋体"/>
                <w:color w:val="000000"/>
                <w:kern w:val="0"/>
                <w:szCs w:val="21"/>
              </w:rPr>
            </w:pPr>
            <w:r>
              <w:rPr>
                <w:rFonts w:hint="eastAsia" w:ascii="宋体" w:hAnsi="宋体" w:cs="宋体"/>
                <w:color w:val="000000"/>
                <w:kern w:val="0"/>
                <w:szCs w:val="21"/>
              </w:rPr>
              <w:t>0.066</w:t>
            </w:r>
          </w:p>
        </w:tc>
        <w:tc>
          <w:tcPr>
            <w:tcW w:w="990" w:type="dxa"/>
            <w:tcBorders>
              <w:top w:val="single" w:color="000000" w:sz="4" w:space="0"/>
              <w:left w:val="single" w:color="000000" w:sz="4" w:space="0"/>
              <w:bottom w:val="single" w:color="000000" w:sz="4" w:space="0"/>
              <w:right w:val="single" w:color="000000" w:sz="4" w:space="0"/>
            </w:tcBorders>
            <w:vAlign w:val="center"/>
          </w:tcPr>
          <w:p w14:paraId="728E6004">
            <w:pPr>
              <w:jc w:val="center"/>
              <w:rPr>
                <w:rFonts w:ascii="宋体" w:hAnsi="宋体" w:cs="宋体"/>
                <w:color w:val="000000"/>
                <w:kern w:val="0"/>
                <w:szCs w:val="21"/>
              </w:rPr>
            </w:pPr>
            <w:r>
              <w:rPr>
                <w:rFonts w:hint="eastAsia" w:ascii="宋体" w:hAnsi="宋体" w:cs="宋体"/>
                <w:color w:val="000000"/>
                <w:kern w:val="0"/>
                <w:szCs w:val="21"/>
              </w:rPr>
              <w:t>0.752</w:t>
            </w:r>
          </w:p>
        </w:tc>
        <w:tc>
          <w:tcPr>
            <w:tcW w:w="1031" w:type="dxa"/>
            <w:tcBorders>
              <w:top w:val="single" w:color="000000" w:sz="4" w:space="0"/>
              <w:left w:val="single" w:color="000000" w:sz="4" w:space="0"/>
              <w:bottom w:val="single" w:color="000000" w:sz="4" w:space="0"/>
              <w:right w:val="single" w:color="000000" w:sz="4" w:space="0"/>
            </w:tcBorders>
            <w:vAlign w:val="center"/>
          </w:tcPr>
          <w:p w14:paraId="731BD48E">
            <w:pPr>
              <w:jc w:val="center"/>
              <w:rPr>
                <w:rFonts w:ascii="宋体" w:hAnsi="宋体" w:cs="宋体"/>
                <w:color w:val="000000"/>
                <w:kern w:val="0"/>
                <w:szCs w:val="21"/>
              </w:rPr>
            </w:pPr>
            <w:r>
              <w:rPr>
                <w:rFonts w:hint="eastAsia" w:ascii="宋体" w:hAnsi="宋体" w:cs="宋体"/>
                <w:color w:val="000000"/>
                <w:kern w:val="0"/>
                <w:szCs w:val="21"/>
              </w:rPr>
              <w:t>0.376</w:t>
            </w:r>
          </w:p>
        </w:tc>
        <w:tc>
          <w:tcPr>
            <w:tcW w:w="1381" w:type="dxa"/>
            <w:tcBorders>
              <w:top w:val="single" w:color="000000" w:sz="4" w:space="0"/>
              <w:left w:val="single" w:color="000000" w:sz="4" w:space="0"/>
              <w:bottom w:val="single" w:color="000000" w:sz="4" w:space="0"/>
              <w:right w:val="single" w:color="000000" w:sz="4" w:space="0"/>
            </w:tcBorders>
            <w:vAlign w:val="center"/>
          </w:tcPr>
          <w:p w14:paraId="2CD93AAF">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0D7FD194">
            <w:pPr>
              <w:jc w:val="center"/>
              <w:rPr>
                <w:rFonts w:ascii="宋体" w:hAnsi="宋体" w:cs="宋体"/>
                <w:color w:val="000000"/>
                <w:kern w:val="0"/>
                <w:szCs w:val="21"/>
              </w:rPr>
            </w:pPr>
            <w:r>
              <w:rPr>
                <w:rFonts w:hint="eastAsia" w:ascii="宋体" w:hAnsi="宋体" w:cs="宋体"/>
                <w:color w:val="000000"/>
                <w:kern w:val="0"/>
                <w:szCs w:val="21"/>
              </w:rPr>
              <w:t>-0.356</w:t>
            </w:r>
          </w:p>
        </w:tc>
        <w:tc>
          <w:tcPr>
            <w:tcW w:w="1134" w:type="dxa"/>
            <w:tcBorders>
              <w:top w:val="single" w:color="000000" w:sz="4" w:space="0"/>
              <w:left w:val="single" w:color="000000" w:sz="4" w:space="0"/>
              <w:bottom w:val="single" w:color="000000" w:sz="4" w:space="0"/>
              <w:right w:val="single" w:color="000000" w:sz="4" w:space="0"/>
            </w:tcBorders>
            <w:vAlign w:val="center"/>
          </w:tcPr>
          <w:p w14:paraId="6EEAC7B4">
            <w:pPr>
              <w:jc w:val="center"/>
              <w:rPr>
                <w:rFonts w:ascii="宋体" w:hAnsi="宋体" w:cs="宋体"/>
                <w:color w:val="000000"/>
                <w:kern w:val="0"/>
                <w:szCs w:val="21"/>
              </w:rPr>
            </w:pPr>
            <w:r>
              <w:rPr>
                <w:rFonts w:hint="eastAsia" w:ascii="宋体" w:hAnsi="宋体" w:cs="宋体"/>
                <w:color w:val="000000"/>
                <w:kern w:val="0"/>
                <w:szCs w:val="21"/>
              </w:rPr>
              <w:t>-0.713</w:t>
            </w:r>
          </w:p>
        </w:tc>
      </w:tr>
      <w:tr w14:paraId="069394FD">
        <w:tblPrEx>
          <w:tblCellMar>
            <w:top w:w="15" w:type="dxa"/>
            <w:left w:w="15" w:type="dxa"/>
            <w:bottom w:w="15" w:type="dxa"/>
            <w:right w:w="15" w:type="dxa"/>
          </w:tblCellMar>
        </w:tblPrEx>
        <w:trPr>
          <w:trHeight w:val="290" w:hRule="atLeast"/>
        </w:trPr>
        <w:tc>
          <w:tcPr>
            <w:tcW w:w="1704" w:type="dxa"/>
            <w:tcBorders>
              <w:top w:val="single" w:color="000000" w:sz="4" w:space="0"/>
              <w:left w:val="single" w:color="000000" w:sz="4" w:space="0"/>
              <w:bottom w:val="single" w:color="000000" w:sz="4" w:space="0"/>
              <w:right w:val="single" w:color="000000" w:sz="4" w:space="0"/>
            </w:tcBorders>
          </w:tcPr>
          <w:p w14:paraId="3E4C1707">
            <w:pPr>
              <w:jc w:val="center"/>
              <w:rPr>
                <w:rFonts w:ascii="宋体" w:hAnsi="宋体" w:cs="宋体"/>
                <w:color w:val="000000"/>
                <w:kern w:val="0"/>
                <w:szCs w:val="21"/>
              </w:rPr>
            </w:pPr>
            <w:r>
              <w:rPr>
                <w:rFonts w:hint="eastAsia" w:ascii="宋体" w:hAnsi="宋体" w:cs="宋体"/>
                <w:color w:val="000000"/>
                <w:kern w:val="0"/>
                <w:szCs w:val="21"/>
              </w:rPr>
              <w:t>表层土壤质地</w:t>
            </w:r>
          </w:p>
        </w:tc>
        <w:tc>
          <w:tcPr>
            <w:tcW w:w="990" w:type="dxa"/>
            <w:tcBorders>
              <w:top w:val="single" w:color="000000" w:sz="4" w:space="0"/>
              <w:left w:val="single" w:color="000000" w:sz="4" w:space="0"/>
              <w:bottom w:val="single" w:color="000000" w:sz="4" w:space="0"/>
              <w:right w:val="single" w:color="000000" w:sz="4" w:space="0"/>
            </w:tcBorders>
            <w:vAlign w:val="center"/>
          </w:tcPr>
          <w:p w14:paraId="705E8660">
            <w:pPr>
              <w:jc w:val="center"/>
              <w:rPr>
                <w:rFonts w:ascii="宋体" w:hAnsi="宋体" w:cs="宋体"/>
                <w:color w:val="000000"/>
                <w:kern w:val="0"/>
                <w:szCs w:val="21"/>
              </w:rPr>
            </w:pPr>
            <w:r>
              <w:rPr>
                <w:rFonts w:hint="eastAsia" w:ascii="宋体" w:hAnsi="宋体" w:cs="宋体"/>
                <w:color w:val="000000"/>
                <w:kern w:val="0"/>
                <w:szCs w:val="21"/>
              </w:rPr>
              <w:t>0.132</w:t>
            </w:r>
          </w:p>
        </w:tc>
        <w:tc>
          <w:tcPr>
            <w:tcW w:w="990" w:type="dxa"/>
            <w:tcBorders>
              <w:top w:val="single" w:color="000000" w:sz="4" w:space="0"/>
              <w:left w:val="single" w:color="000000" w:sz="4" w:space="0"/>
              <w:bottom w:val="single" w:color="000000" w:sz="4" w:space="0"/>
              <w:right w:val="single" w:color="000000" w:sz="4" w:space="0"/>
            </w:tcBorders>
            <w:vAlign w:val="center"/>
          </w:tcPr>
          <w:p w14:paraId="15BFD499">
            <w:pPr>
              <w:jc w:val="center"/>
              <w:rPr>
                <w:rFonts w:ascii="宋体" w:hAnsi="宋体" w:cs="宋体"/>
                <w:color w:val="000000"/>
                <w:kern w:val="0"/>
                <w:szCs w:val="21"/>
              </w:rPr>
            </w:pPr>
            <w:r>
              <w:rPr>
                <w:rFonts w:hint="eastAsia" w:ascii="宋体" w:hAnsi="宋体" w:cs="宋体"/>
                <w:color w:val="000000"/>
                <w:kern w:val="0"/>
                <w:szCs w:val="21"/>
              </w:rPr>
              <w:t>1.505</w:t>
            </w:r>
          </w:p>
        </w:tc>
        <w:tc>
          <w:tcPr>
            <w:tcW w:w="1031" w:type="dxa"/>
            <w:tcBorders>
              <w:top w:val="single" w:color="000000" w:sz="4" w:space="0"/>
              <w:left w:val="single" w:color="000000" w:sz="4" w:space="0"/>
              <w:bottom w:val="single" w:color="000000" w:sz="4" w:space="0"/>
              <w:right w:val="single" w:color="000000" w:sz="4" w:space="0"/>
            </w:tcBorders>
            <w:vAlign w:val="center"/>
          </w:tcPr>
          <w:p w14:paraId="1475C5D4">
            <w:pPr>
              <w:jc w:val="center"/>
              <w:rPr>
                <w:rFonts w:ascii="宋体" w:hAnsi="宋体" w:cs="宋体"/>
                <w:color w:val="000000"/>
                <w:kern w:val="0"/>
                <w:szCs w:val="21"/>
              </w:rPr>
            </w:pPr>
            <w:r>
              <w:rPr>
                <w:rFonts w:hint="eastAsia" w:ascii="宋体" w:hAnsi="宋体" w:cs="宋体"/>
                <w:color w:val="000000"/>
                <w:kern w:val="0"/>
                <w:szCs w:val="21"/>
              </w:rPr>
              <w:t>0.752</w:t>
            </w:r>
          </w:p>
        </w:tc>
        <w:tc>
          <w:tcPr>
            <w:tcW w:w="1381" w:type="dxa"/>
            <w:tcBorders>
              <w:top w:val="single" w:color="000000" w:sz="4" w:space="0"/>
              <w:left w:val="single" w:color="000000" w:sz="4" w:space="0"/>
              <w:bottom w:val="single" w:color="000000" w:sz="4" w:space="0"/>
              <w:right w:val="single" w:color="000000" w:sz="4" w:space="0"/>
            </w:tcBorders>
            <w:vAlign w:val="center"/>
          </w:tcPr>
          <w:p w14:paraId="00FDDB17">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12158AA0">
            <w:pPr>
              <w:jc w:val="center"/>
              <w:rPr>
                <w:rFonts w:ascii="宋体" w:hAnsi="宋体" w:cs="宋体"/>
                <w:color w:val="000000"/>
                <w:kern w:val="0"/>
                <w:szCs w:val="21"/>
              </w:rPr>
            </w:pPr>
            <w:r>
              <w:rPr>
                <w:rFonts w:hint="eastAsia" w:ascii="宋体" w:hAnsi="宋体" w:cs="宋体"/>
                <w:color w:val="000000"/>
                <w:kern w:val="0"/>
                <w:szCs w:val="21"/>
              </w:rPr>
              <w:t>-0.713</w:t>
            </w:r>
          </w:p>
        </w:tc>
        <w:tc>
          <w:tcPr>
            <w:tcW w:w="1134" w:type="dxa"/>
            <w:tcBorders>
              <w:top w:val="single" w:color="000000" w:sz="4" w:space="0"/>
              <w:left w:val="single" w:color="000000" w:sz="4" w:space="0"/>
              <w:bottom w:val="single" w:color="000000" w:sz="4" w:space="0"/>
              <w:right w:val="single" w:color="000000" w:sz="4" w:space="0"/>
            </w:tcBorders>
            <w:vAlign w:val="center"/>
          </w:tcPr>
          <w:p w14:paraId="32E3D1AC">
            <w:pPr>
              <w:jc w:val="center"/>
              <w:rPr>
                <w:rFonts w:ascii="宋体" w:hAnsi="宋体" w:cs="宋体"/>
                <w:color w:val="000000"/>
                <w:kern w:val="0"/>
                <w:szCs w:val="21"/>
              </w:rPr>
            </w:pPr>
            <w:r>
              <w:rPr>
                <w:rFonts w:hint="eastAsia" w:ascii="宋体" w:hAnsi="宋体" w:cs="宋体"/>
                <w:color w:val="000000"/>
                <w:kern w:val="0"/>
                <w:szCs w:val="21"/>
              </w:rPr>
              <w:t>-1.426</w:t>
            </w:r>
          </w:p>
        </w:tc>
      </w:tr>
      <w:tr w14:paraId="6FD8EDB4">
        <w:tblPrEx>
          <w:tblCellMar>
            <w:top w:w="15" w:type="dxa"/>
            <w:left w:w="15" w:type="dxa"/>
            <w:bottom w:w="15" w:type="dxa"/>
            <w:right w:w="15" w:type="dxa"/>
          </w:tblCellMar>
        </w:tblPrEx>
        <w:trPr>
          <w:trHeight w:val="284" w:hRule="atLeast"/>
        </w:trPr>
        <w:tc>
          <w:tcPr>
            <w:tcW w:w="1704" w:type="dxa"/>
            <w:tcBorders>
              <w:top w:val="single" w:color="000000" w:sz="4" w:space="0"/>
              <w:left w:val="single" w:color="000000" w:sz="4" w:space="0"/>
              <w:bottom w:val="single" w:color="000000" w:sz="4" w:space="0"/>
              <w:right w:val="single" w:color="000000" w:sz="4" w:space="0"/>
            </w:tcBorders>
          </w:tcPr>
          <w:p w14:paraId="60D52007">
            <w:pPr>
              <w:jc w:val="center"/>
              <w:rPr>
                <w:rFonts w:ascii="宋体" w:hAnsi="宋体" w:cs="宋体"/>
                <w:color w:val="000000"/>
                <w:kern w:val="0"/>
                <w:szCs w:val="21"/>
              </w:rPr>
            </w:pPr>
            <w:r>
              <w:rPr>
                <w:rFonts w:hint="eastAsia" w:ascii="宋体" w:hAnsi="宋体" w:cs="宋体"/>
                <w:color w:val="000000"/>
                <w:kern w:val="0"/>
                <w:szCs w:val="21"/>
              </w:rPr>
              <w:t>土壤PH值</w:t>
            </w:r>
          </w:p>
        </w:tc>
        <w:tc>
          <w:tcPr>
            <w:tcW w:w="990" w:type="dxa"/>
            <w:tcBorders>
              <w:top w:val="single" w:color="000000" w:sz="4" w:space="0"/>
              <w:left w:val="single" w:color="000000" w:sz="4" w:space="0"/>
              <w:bottom w:val="single" w:color="000000" w:sz="4" w:space="0"/>
              <w:right w:val="single" w:color="000000" w:sz="4" w:space="0"/>
            </w:tcBorders>
            <w:vAlign w:val="center"/>
          </w:tcPr>
          <w:p w14:paraId="56D51185">
            <w:pPr>
              <w:jc w:val="center"/>
              <w:rPr>
                <w:rFonts w:ascii="宋体" w:hAnsi="宋体" w:cs="宋体"/>
                <w:color w:val="000000"/>
                <w:kern w:val="0"/>
                <w:szCs w:val="21"/>
              </w:rPr>
            </w:pPr>
            <w:r>
              <w:rPr>
                <w:rFonts w:hint="eastAsia" w:ascii="宋体" w:hAnsi="宋体" w:cs="宋体"/>
                <w:color w:val="000000"/>
                <w:kern w:val="0"/>
                <w:szCs w:val="21"/>
              </w:rPr>
              <w:t>0.039</w:t>
            </w:r>
          </w:p>
        </w:tc>
        <w:tc>
          <w:tcPr>
            <w:tcW w:w="990" w:type="dxa"/>
            <w:tcBorders>
              <w:top w:val="single" w:color="000000" w:sz="4" w:space="0"/>
              <w:left w:val="single" w:color="000000" w:sz="4" w:space="0"/>
              <w:bottom w:val="single" w:color="000000" w:sz="4" w:space="0"/>
              <w:right w:val="single" w:color="000000" w:sz="4" w:space="0"/>
            </w:tcBorders>
            <w:vAlign w:val="center"/>
          </w:tcPr>
          <w:p w14:paraId="0F902A59">
            <w:pPr>
              <w:jc w:val="center"/>
              <w:rPr>
                <w:rFonts w:ascii="宋体" w:hAnsi="宋体" w:cs="宋体"/>
                <w:color w:val="000000"/>
                <w:kern w:val="0"/>
                <w:szCs w:val="21"/>
              </w:rPr>
            </w:pPr>
            <w:r>
              <w:rPr>
                <w:rFonts w:hint="eastAsia" w:ascii="宋体" w:hAnsi="宋体" w:cs="宋体"/>
                <w:color w:val="000000"/>
                <w:kern w:val="0"/>
                <w:szCs w:val="21"/>
              </w:rPr>
              <w:t>0.439</w:t>
            </w:r>
          </w:p>
        </w:tc>
        <w:tc>
          <w:tcPr>
            <w:tcW w:w="1031" w:type="dxa"/>
            <w:tcBorders>
              <w:top w:val="single" w:color="000000" w:sz="4" w:space="0"/>
              <w:left w:val="single" w:color="000000" w:sz="4" w:space="0"/>
              <w:bottom w:val="single" w:color="000000" w:sz="4" w:space="0"/>
              <w:right w:val="single" w:color="000000" w:sz="4" w:space="0"/>
            </w:tcBorders>
            <w:vAlign w:val="center"/>
          </w:tcPr>
          <w:p w14:paraId="036B94AC">
            <w:pPr>
              <w:jc w:val="center"/>
              <w:rPr>
                <w:rFonts w:ascii="宋体" w:hAnsi="宋体" w:cs="宋体"/>
                <w:color w:val="000000"/>
                <w:kern w:val="0"/>
                <w:szCs w:val="21"/>
              </w:rPr>
            </w:pPr>
            <w:r>
              <w:rPr>
                <w:rFonts w:hint="eastAsia" w:ascii="宋体" w:hAnsi="宋体" w:cs="宋体"/>
                <w:color w:val="000000"/>
                <w:kern w:val="0"/>
                <w:szCs w:val="21"/>
              </w:rPr>
              <w:t>0.219</w:t>
            </w:r>
          </w:p>
        </w:tc>
        <w:tc>
          <w:tcPr>
            <w:tcW w:w="1381" w:type="dxa"/>
            <w:tcBorders>
              <w:top w:val="single" w:color="000000" w:sz="4" w:space="0"/>
              <w:left w:val="single" w:color="000000" w:sz="4" w:space="0"/>
              <w:bottom w:val="single" w:color="000000" w:sz="4" w:space="0"/>
              <w:right w:val="single" w:color="000000" w:sz="4" w:space="0"/>
            </w:tcBorders>
            <w:vAlign w:val="center"/>
          </w:tcPr>
          <w:p w14:paraId="4C756853">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64C58DB6">
            <w:pPr>
              <w:jc w:val="center"/>
              <w:rPr>
                <w:rFonts w:ascii="宋体" w:hAnsi="宋体" w:cs="宋体"/>
                <w:color w:val="000000"/>
                <w:kern w:val="0"/>
                <w:szCs w:val="21"/>
              </w:rPr>
            </w:pPr>
            <w:r>
              <w:rPr>
                <w:rFonts w:hint="eastAsia" w:ascii="宋体" w:hAnsi="宋体" w:cs="宋体"/>
                <w:color w:val="000000"/>
                <w:kern w:val="0"/>
                <w:szCs w:val="21"/>
              </w:rPr>
              <w:t>-0.208</w:t>
            </w:r>
          </w:p>
        </w:tc>
        <w:tc>
          <w:tcPr>
            <w:tcW w:w="1134" w:type="dxa"/>
            <w:tcBorders>
              <w:top w:val="single" w:color="000000" w:sz="4" w:space="0"/>
              <w:left w:val="single" w:color="000000" w:sz="4" w:space="0"/>
              <w:bottom w:val="single" w:color="000000" w:sz="4" w:space="0"/>
              <w:right w:val="single" w:color="000000" w:sz="4" w:space="0"/>
            </w:tcBorders>
            <w:vAlign w:val="center"/>
          </w:tcPr>
          <w:p w14:paraId="5E6C56EE">
            <w:pPr>
              <w:jc w:val="center"/>
              <w:rPr>
                <w:rFonts w:ascii="宋体" w:hAnsi="宋体" w:cs="宋体"/>
                <w:color w:val="000000"/>
                <w:kern w:val="0"/>
                <w:szCs w:val="21"/>
              </w:rPr>
            </w:pPr>
            <w:r>
              <w:rPr>
                <w:rFonts w:hint="eastAsia" w:ascii="宋体" w:hAnsi="宋体" w:cs="宋体"/>
                <w:color w:val="000000"/>
                <w:kern w:val="0"/>
                <w:szCs w:val="21"/>
              </w:rPr>
              <w:t>-0.416</w:t>
            </w:r>
          </w:p>
        </w:tc>
      </w:tr>
      <w:tr w14:paraId="5568BEF9">
        <w:tblPrEx>
          <w:tblCellMar>
            <w:top w:w="15" w:type="dxa"/>
            <w:left w:w="15" w:type="dxa"/>
            <w:bottom w:w="15" w:type="dxa"/>
            <w:right w:w="15" w:type="dxa"/>
          </w:tblCellMar>
        </w:tblPrEx>
        <w:trPr>
          <w:trHeight w:val="300" w:hRule="atLeast"/>
        </w:trPr>
        <w:tc>
          <w:tcPr>
            <w:tcW w:w="1704" w:type="dxa"/>
            <w:tcBorders>
              <w:top w:val="single" w:color="000000" w:sz="4" w:space="0"/>
              <w:left w:val="single" w:color="000000" w:sz="4" w:space="0"/>
              <w:bottom w:val="single" w:color="000000" w:sz="4" w:space="0"/>
              <w:right w:val="single" w:color="000000" w:sz="4" w:space="0"/>
            </w:tcBorders>
          </w:tcPr>
          <w:p w14:paraId="11992A90">
            <w:pPr>
              <w:jc w:val="center"/>
              <w:rPr>
                <w:rFonts w:ascii="宋体" w:hAnsi="宋体" w:cs="宋体"/>
                <w:color w:val="000000"/>
                <w:kern w:val="0"/>
                <w:szCs w:val="21"/>
              </w:rPr>
            </w:pPr>
            <w:r>
              <w:rPr>
                <w:rFonts w:hint="eastAsia" w:ascii="宋体" w:hAnsi="宋体" w:cs="宋体"/>
                <w:color w:val="000000"/>
                <w:kern w:val="0"/>
                <w:szCs w:val="21"/>
              </w:rPr>
              <w:t>障碍层深度</w:t>
            </w:r>
          </w:p>
        </w:tc>
        <w:tc>
          <w:tcPr>
            <w:tcW w:w="990" w:type="dxa"/>
            <w:tcBorders>
              <w:top w:val="single" w:color="000000" w:sz="4" w:space="0"/>
              <w:left w:val="single" w:color="000000" w:sz="4" w:space="0"/>
              <w:bottom w:val="single" w:color="000000" w:sz="4" w:space="0"/>
              <w:right w:val="single" w:color="000000" w:sz="4" w:space="0"/>
            </w:tcBorders>
            <w:vAlign w:val="center"/>
          </w:tcPr>
          <w:p w14:paraId="4F4F4AC9">
            <w:pPr>
              <w:jc w:val="center"/>
              <w:rPr>
                <w:rFonts w:ascii="宋体" w:hAnsi="宋体" w:cs="宋体"/>
                <w:color w:val="000000"/>
                <w:kern w:val="0"/>
                <w:szCs w:val="21"/>
              </w:rPr>
            </w:pPr>
            <w:r>
              <w:rPr>
                <w:rFonts w:hint="eastAsia" w:ascii="宋体" w:hAnsi="宋体" w:cs="宋体"/>
                <w:color w:val="000000"/>
                <w:kern w:val="0"/>
                <w:szCs w:val="21"/>
              </w:rPr>
              <w:t>0.050</w:t>
            </w:r>
          </w:p>
        </w:tc>
        <w:tc>
          <w:tcPr>
            <w:tcW w:w="990" w:type="dxa"/>
            <w:tcBorders>
              <w:top w:val="single" w:color="000000" w:sz="4" w:space="0"/>
              <w:left w:val="single" w:color="000000" w:sz="4" w:space="0"/>
              <w:bottom w:val="single" w:color="000000" w:sz="4" w:space="0"/>
              <w:right w:val="single" w:color="000000" w:sz="4" w:space="0"/>
            </w:tcBorders>
            <w:vAlign w:val="center"/>
          </w:tcPr>
          <w:p w14:paraId="15F9B51B">
            <w:pPr>
              <w:jc w:val="center"/>
              <w:rPr>
                <w:rFonts w:ascii="宋体" w:hAnsi="宋体" w:cs="宋体"/>
                <w:color w:val="000000"/>
                <w:kern w:val="0"/>
                <w:szCs w:val="21"/>
              </w:rPr>
            </w:pPr>
            <w:r>
              <w:rPr>
                <w:rFonts w:hint="eastAsia" w:ascii="宋体" w:hAnsi="宋体" w:cs="宋体"/>
                <w:color w:val="000000"/>
                <w:kern w:val="0"/>
                <w:szCs w:val="21"/>
              </w:rPr>
              <w:t>0.564</w:t>
            </w:r>
          </w:p>
        </w:tc>
        <w:tc>
          <w:tcPr>
            <w:tcW w:w="1031" w:type="dxa"/>
            <w:tcBorders>
              <w:top w:val="single" w:color="000000" w:sz="4" w:space="0"/>
              <w:left w:val="single" w:color="000000" w:sz="4" w:space="0"/>
              <w:bottom w:val="single" w:color="000000" w:sz="4" w:space="0"/>
              <w:right w:val="single" w:color="000000" w:sz="4" w:space="0"/>
            </w:tcBorders>
            <w:vAlign w:val="center"/>
          </w:tcPr>
          <w:p w14:paraId="48129969">
            <w:pPr>
              <w:jc w:val="center"/>
              <w:rPr>
                <w:rFonts w:ascii="宋体" w:hAnsi="宋体" w:cs="宋体"/>
                <w:color w:val="000000"/>
                <w:kern w:val="0"/>
                <w:szCs w:val="21"/>
              </w:rPr>
            </w:pPr>
            <w:r>
              <w:rPr>
                <w:rFonts w:hint="eastAsia" w:ascii="宋体" w:hAnsi="宋体" w:cs="宋体"/>
                <w:color w:val="000000"/>
                <w:kern w:val="0"/>
                <w:szCs w:val="21"/>
              </w:rPr>
              <w:t>0.282</w:t>
            </w:r>
          </w:p>
        </w:tc>
        <w:tc>
          <w:tcPr>
            <w:tcW w:w="1381" w:type="dxa"/>
            <w:tcBorders>
              <w:top w:val="single" w:color="000000" w:sz="4" w:space="0"/>
              <w:left w:val="single" w:color="000000" w:sz="4" w:space="0"/>
              <w:bottom w:val="single" w:color="000000" w:sz="4" w:space="0"/>
              <w:right w:val="single" w:color="000000" w:sz="4" w:space="0"/>
            </w:tcBorders>
            <w:vAlign w:val="center"/>
          </w:tcPr>
          <w:p w14:paraId="1737B56B">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5B48484E">
            <w:pPr>
              <w:jc w:val="center"/>
              <w:rPr>
                <w:rFonts w:ascii="宋体" w:hAnsi="宋体" w:cs="宋体"/>
                <w:color w:val="000000"/>
                <w:kern w:val="0"/>
                <w:szCs w:val="21"/>
              </w:rPr>
            </w:pPr>
            <w:r>
              <w:rPr>
                <w:rFonts w:hint="eastAsia" w:ascii="宋体" w:hAnsi="宋体" w:cs="宋体"/>
                <w:color w:val="000000"/>
                <w:kern w:val="0"/>
                <w:szCs w:val="21"/>
              </w:rPr>
              <w:t>-0.267</w:t>
            </w:r>
          </w:p>
        </w:tc>
        <w:tc>
          <w:tcPr>
            <w:tcW w:w="1134" w:type="dxa"/>
            <w:tcBorders>
              <w:top w:val="single" w:color="000000" w:sz="4" w:space="0"/>
              <w:left w:val="single" w:color="000000" w:sz="4" w:space="0"/>
              <w:bottom w:val="single" w:color="000000" w:sz="4" w:space="0"/>
              <w:right w:val="single" w:color="000000" w:sz="4" w:space="0"/>
            </w:tcBorders>
            <w:vAlign w:val="center"/>
          </w:tcPr>
          <w:p w14:paraId="1D9078D1">
            <w:pPr>
              <w:jc w:val="center"/>
              <w:rPr>
                <w:rFonts w:ascii="宋体" w:hAnsi="宋体" w:cs="宋体"/>
                <w:color w:val="000000"/>
                <w:kern w:val="0"/>
                <w:szCs w:val="21"/>
              </w:rPr>
            </w:pPr>
            <w:r>
              <w:rPr>
                <w:rFonts w:hint="eastAsia" w:ascii="宋体" w:hAnsi="宋体" w:cs="宋体"/>
                <w:color w:val="000000"/>
                <w:kern w:val="0"/>
                <w:szCs w:val="21"/>
              </w:rPr>
              <w:t>-0.535</w:t>
            </w:r>
          </w:p>
        </w:tc>
      </w:tr>
      <w:tr w14:paraId="3DBE7C0F">
        <w:tblPrEx>
          <w:tblCellMar>
            <w:top w:w="15" w:type="dxa"/>
            <w:left w:w="15" w:type="dxa"/>
            <w:bottom w:w="15" w:type="dxa"/>
            <w:right w:w="15" w:type="dxa"/>
          </w:tblCellMar>
        </w:tblPrEx>
        <w:trPr>
          <w:trHeight w:val="234" w:hRule="atLeast"/>
        </w:trPr>
        <w:tc>
          <w:tcPr>
            <w:tcW w:w="1704" w:type="dxa"/>
            <w:tcBorders>
              <w:top w:val="single" w:color="000000" w:sz="4" w:space="0"/>
              <w:left w:val="single" w:color="000000" w:sz="4" w:space="0"/>
              <w:bottom w:val="single" w:color="000000" w:sz="4" w:space="0"/>
              <w:right w:val="single" w:color="000000" w:sz="4" w:space="0"/>
            </w:tcBorders>
          </w:tcPr>
          <w:p w14:paraId="57623695">
            <w:pPr>
              <w:jc w:val="center"/>
              <w:rPr>
                <w:rFonts w:ascii="宋体" w:hAnsi="宋体" w:cs="宋体"/>
                <w:color w:val="000000"/>
                <w:kern w:val="0"/>
                <w:szCs w:val="21"/>
              </w:rPr>
            </w:pPr>
            <w:r>
              <w:rPr>
                <w:rFonts w:hint="eastAsia" w:ascii="宋体" w:hAnsi="宋体" w:cs="宋体"/>
                <w:color w:val="000000"/>
                <w:kern w:val="0"/>
                <w:szCs w:val="21"/>
              </w:rPr>
              <w:t>灌溉保证率</w:t>
            </w:r>
          </w:p>
        </w:tc>
        <w:tc>
          <w:tcPr>
            <w:tcW w:w="990" w:type="dxa"/>
            <w:tcBorders>
              <w:top w:val="single" w:color="000000" w:sz="4" w:space="0"/>
              <w:left w:val="single" w:color="000000" w:sz="4" w:space="0"/>
              <w:bottom w:val="single" w:color="000000" w:sz="4" w:space="0"/>
              <w:right w:val="single" w:color="000000" w:sz="4" w:space="0"/>
            </w:tcBorders>
            <w:vAlign w:val="center"/>
          </w:tcPr>
          <w:p w14:paraId="3FB32BCF">
            <w:pPr>
              <w:jc w:val="center"/>
              <w:rPr>
                <w:rFonts w:ascii="宋体" w:hAnsi="宋体" w:cs="宋体"/>
                <w:color w:val="000000"/>
                <w:kern w:val="0"/>
                <w:szCs w:val="21"/>
              </w:rPr>
            </w:pPr>
            <w:r>
              <w:rPr>
                <w:rFonts w:hint="eastAsia" w:ascii="宋体" w:hAnsi="宋体" w:cs="宋体"/>
                <w:color w:val="000000"/>
                <w:kern w:val="0"/>
                <w:szCs w:val="21"/>
              </w:rPr>
              <w:t>0.055</w:t>
            </w:r>
          </w:p>
        </w:tc>
        <w:tc>
          <w:tcPr>
            <w:tcW w:w="990" w:type="dxa"/>
            <w:tcBorders>
              <w:top w:val="single" w:color="000000" w:sz="4" w:space="0"/>
              <w:left w:val="single" w:color="000000" w:sz="4" w:space="0"/>
              <w:bottom w:val="single" w:color="000000" w:sz="4" w:space="0"/>
              <w:right w:val="single" w:color="000000" w:sz="4" w:space="0"/>
            </w:tcBorders>
            <w:vAlign w:val="center"/>
          </w:tcPr>
          <w:p w14:paraId="70A3BEAF">
            <w:pPr>
              <w:jc w:val="center"/>
              <w:rPr>
                <w:rFonts w:ascii="宋体" w:hAnsi="宋体" w:cs="宋体"/>
                <w:color w:val="000000"/>
                <w:kern w:val="0"/>
                <w:szCs w:val="21"/>
              </w:rPr>
            </w:pPr>
            <w:r>
              <w:rPr>
                <w:rFonts w:hint="eastAsia" w:ascii="宋体" w:hAnsi="宋体" w:cs="宋体"/>
                <w:color w:val="000000"/>
                <w:kern w:val="0"/>
                <w:szCs w:val="21"/>
              </w:rPr>
              <w:t>0.627</w:t>
            </w:r>
          </w:p>
        </w:tc>
        <w:tc>
          <w:tcPr>
            <w:tcW w:w="1031" w:type="dxa"/>
            <w:tcBorders>
              <w:top w:val="single" w:color="000000" w:sz="4" w:space="0"/>
              <w:left w:val="single" w:color="000000" w:sz="4" w:space="0"/>
              <w:bottom w:val="single" w:color="000000" w:sz="4" w:space="0"/>
              <w:right w:val="single" w:color="000000" w:sz="4" w:space="0"/>
            </w:tcBorders>
            <w:vAlign w:val="center"/>
          </w:tcPr>
          <w:p w14:paraId="32CC7B44">
            <w:pPr>
              <w:jc w:val="center"/>
              <w:rPr>
                <w:rFonts w:ascii="宋体" w:hAnsi="宋体" w:cs="宋体"/>
                <w:color w:val="000000"/>
                <w:kern w:val="0"/>
                <w:szCs w:val="21"/>
              </w:rPr>
            </w:pPr>
            <w:r>
              <w:rPr>
                <w:rFonts w:hint="eastAsia" w:ascii="宋体" w:hAnsi="宋体" w:cs="宋体"/>
                <w:color w:val="000000"/>
                <w:kern w:val="0"/>
                <w:szCs w:val="21"/>
              </w:rPr>
              <w:t>0.314</w:t>
            </w:r>
          </w:p>
        </w:tc>
        <w:tc>
          <w:tcPr>
            <w:tcW w:w="1381" w:type="dxa"/>
            <w:tcBorders>
              <w:top w:val="single" w:color="000000" w:sz="4" w:space="0"/>
              <w:left w:val="single" w:color="000000" w:sz="4" w:space="0"/>
              <w:bottom w:val="single" w:color="000000" w:sz="4" w:space="0"/>
              <w:right w:val="single" w:color="000000" w:sz="4" w:space="0"/>
            </w:tcBorders>
            <w:vAlign w:val="center"/>
          </w:tcPr>
          <w:p w14:paraId="2E9366E0">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780DDA48">
            <w:pPr>
              <w:jc w:val="center"/>
              <w:rPr>
                <w:rFonts w:ascii="宋体" w:hAnsi="宋体" w:cs="宋体"/>
                <w:color w:val="000000"/>
                <w:kern w:val="0"/>
                <w:szCs w:val="21"/>
              </w:rPr>
            </w:pPr>
            <w:r>
              <w:rPr>
                <w:rFonts w:hint="eastAsia" w:ascii="宋体" w:hAnsi="宋体" w:cs="宋体"/>
                <w:color w:val="000000"/>
                <w:kern w:val="0"/>
                <w:szCs w:val="21"/>
              </w:rPr>
              <w:t>-0.297</w:t>
            </w:r>
          </w:p>
        </w:tc>
        <w:tc>
          <w:tcPr>
            <w:tcW w:w="1134" w:type="dxa"/>
            <w:tcBorders>
              <w:top w:val="single" w:color="000000" w:sz="4" w:space="0"/>
              <w:left w:val="single" w:color="000000" w:sz="4" w:space="0"/>
              <w:bottom w:val="single" w:color="000000" w:sz="4" w:space="0"/>
              <w:right w:val="single" w:color="000000" w:sz="4" w:space="0"/>
            </w:tcBorders>
            <w:vAlign w:val="center"/>
          </w:tcPr>
          <w:p w14:paraId="61CB2F04">
            <w:pPr>
              <w:jc w:val="center"/>
              <w:rPr>
                <w:rFonts w:ascii="宋体" w:hAnsi="宋体" w:cs="宋体"/>
                <w:color w:val="000000"/>
                <w:kern w:val="0"/>
                <w:szCs w:val="21"/>
              </w:rPr>
            </w:pPr>
            <w:r>
              <w:rPr>
                <w:rFonts w:hint="eastAsia" w:ascii="宋体" w:hAnsi="宋体" w:cs="宋体"/>
                <w:color w:val="000000"/>
                <w:kern w:val="0"/>
                <w:szCs w:val="21"/>
              </w:rPr>
              <w:t>-0.594</w:t>
            </w:r>
          </w:p>
        </w:tc>
      </w:tr>
      <w:tr w14:paraId="44B721B4">
        <w:tblPrEx>
          <w:tblCellMar>
            <w:top w:w="15" w:type="dxa"/>
            <w:left w:w="15" w:type="dxa"/>
            <w:bottom w:w="15" w:type="dxa"/>
            <w:right w:w="15" w:type="dxa"/>
          </w:tblCellMar>
        </w:tblPrEx>
        <w:trPr>
          <w:trHeight w:val="296" w:hRule="atLeast"/>
        </w:trPr>
        <w:tc>
          <w:tcPr>
            <w:tcW w:w="1704" w:type="dxa"/>
            <w:tcBorders>
              <w:top w:val="single" w:color="000000" w:sz="4" w:space="0"/>
              <w:left w:val="single" w:color="000000" w:sz="4" w:space="0"/>
              <w:bottom w:val="single" w:color="000000" w:sz="4" w:space="0"/>
              <w:right w:val="single" w:color="000000" w:sz="4" w:space="0"/>
            </w:tcBorders>
          </w:tcPr>
          <w:p w14:paraId="371FA861">
            <w:pPr>
              <w:jc w:val="center"/>
              <w:rPr>
                <w:rFonts w:ascii="宋体" w:hAnsi="宋体" w:cs="宋体"/>
                <w:color w:val="000000"/>
                <w:kern w:val="0"/>
                <w:szCs w:val="21"/>
              </w:rPr>
            </w:pPr>
            <w:r>
              <w:rPr>
                <w:rFonts w:hint="eastAsia" w:ascii="宋体" w:hAnsi="宋体" w:cs="宋体"/>
                <w:color w:val="000000"/>
                <w:kern w:val="0"/>
                <w:szCs w:val="21"/>
              </w:rPr>
              <w:t>地下水埋深</w:t>
            </w:r>
          </w:p>
        </w:tc>
        <w:tc>
          <w:tcPr>
            <w:tcW w:w="990" w:type="dxa"/>
            <w:tcBorders>
              <w:top w:val="single" w:color="000000" w:sz="4" w:space="0"/>
              <w:left w:val="single" w:color="000000" w:sz="4" w:space="0"/>
              <w:bottom w:val="single" w:color="000000" w:sz="4" w:space="0"/>
              <w:right w:val="single" w:color="000000" w:sz="4" w:space="0"/>
            </w:tcBorders>
            <w:vAlign w:val="center"/>
          </w:tcPr>
          <w:p w14:paraId="1767EA4F">
            <w:pPr>
              <w:jc w:val="center"/>
              <w:rPr>
                <w:rFonts w:ascii="宋体" w:hAnsi="宋体" w:cs="宋体"/>
                <w:color w:val="000000"/>
                <w:kern w:val="0"/>
                <w:szCs w:val="21"/>
              </w:rPr>
            </w:pPr>
            <w:r>
              <w:rPr>
                <w:rFonts w:hint="eastAsia" w:ascii="宋体" w:hAnsi="宋体" w:cs="宋体"/>
                <w:color w:val="000000"/>
                <w:kern w:val="0"/>
                <w:szCs w:val="21"/>
              </w:rPr>
              <w:t>0.055</w:t>
            </w:r>
          </w:p>
        </w:tc>
        <w:tc>
          <w:tcPr>
            <w:tcW w:w="990" w:type="dxa"/>
            <w:tcBorders>
              <w:top w:val="single" w:color="000000" w:sz="4" w:space="0"/>
              <w:left w:val="single" w:color="000000" w:sz="4" w:space="0"/>
              <w:bottom w:val="single" w:color="000000" w:sz="4" w:space="0"/>
              <w:right w:val="single" w:color="000000" w:sz="4" w:space="0"/>
            </w:tcBorders>
            <w:vAlign w:val="center"/>
          </w:tcPr>
          <w:p w14:paraId="3F03FC59">
            <w:pPr>
              <w:jc w:val="center"/>
              <w:rPr>
                <w:rFonts w:ascii="宋体" w:hAnsi="宋体" w:cs="宋体"/>
                <w:color w:val="000000"/>
                <w:kern w:val="0"/>
                <w:szCs w:val="21"/>
              </w:rPr>
            </w:pPr>
            <w:r>
              <w:rPr>
                <w:rFonts w:hint="eastAsia" w:ascii="宋体" w:hAnsi="宋体" w:cs="宋体"/>
                <w:color w:val="000000"/>
                <w:kern w:val="0"/>
                <w:szCs w:val="21"/>
              </w:rPr>
              <w:t>0.627</w:t>
            </w:r>
          </w:p>
        </w:tc>
        <w:tc>
          <w:tcPr>
            <w:tcW w:w="1031" w:type="dxa"/>
            <w:tcBorders>
              <w:top w:val="single" w:color="000000" w:sz="4" w:space="0"/>
              <w:left w:val="single" w:color="000000" w:sz="4" w:space="0"/>
              <w:bottom w:val="single" w:color="000000" w:sz="4" w:space="0"/>
              <w:right w:val="single" w:color="000000" w:sz="4" w:space="0"/>
            </w:tcBorders>
            <w:vAlign w:val="center"/>
          </w:tcPr>
          <w:p w14:paraId="2FD3D558">
            <w:pPr>
              <w:jc w:val="center"/>
              <w:rPr>
                <w:rFonts w:ascii="宋体" w:hAnsi="宋体" w:cs="宋体"/>
                <w:color w:val="000000"/>
                <w:kern w:val="0"/>
                <w:szCs w:val="21"/>
              </w:rPr>
            </w:pPr>
            <w:r>
              <w:rPr>
                <w:rFonts w:hint="eastAsia" w:ascii="宋体" w:hAnsi="宋体" w:cs="宋体"/>
                <w:color w:val="000000"/>
                <w:kern w:val="0"/>
                <w:szCs w:val="21"/>
              </w:rPr>
              <w:t>0.314</w:t>
            </w:r>
          </w:p>
        </w:tc>
        <w:tc>
          <w:tcPr>
            <w:tcW w:w="1381" w:type="dxa"/>
            <w:tcBorders>
              <w:top w:val="single" w:color="000000" w:sz="4" w:space="0"/>
              <w:left w:val="single" w:color="000000" w:sz="4" w:space="0"/>
              <w:bottom w:val="single" w:color="000000" w:sz="4" w:space="0"/>
              <w:right w:val="single" w:color="000000" w:sz="4" w:space="0"/>
            </w:tcBorders>
            <w:vAlign w:val="center"/>
          </w:tcPr>
          <w:p w14:paraId="23563CBB">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26DC81F9">
            <w:pPr>
              <w:jc w:val="center"/>
              <w:rPr>
                <w:rFonts w:ascii="宋体" w:hAnsi="宋体" w:cs="宋体"/>
                <w:color w:val="000000"/>
                <w:kern w:val="0"/>
                <w:szCs w:val="21"/>
              </w:rPr>
            </w:pPr>
            <w:r>
              <w:rPr>
                <w:rFonts w:hint="eastAsia" w:ascii="宋体" w:hAnsi="宋体" w:cs="宋体"/>
                <w:color w:val="000000"/>
                <w:kern w:val="0"/>
                <w:szCs w:val="21"/>
              </w:rPr>
              <w:t>-0.297</w:t>
            </w:r>
          </w:p>
        </w:tc>
        <w:tc>
          <w:tcPr>
            <w:tcW w:w="1134" w:type="dxa"/>
            <w:tcBorders>
              <w:top w:val="single" w:color="000000" w:sz="4" w:space="0"/>
              <w:left w:val="single" w:color="000000" w:sz="4" w:space="0"/>
              <w:bottom w:val="single" w:color="000000" w:sz="4" w:space="0"/>
              <w:right w:val="single" w:color="000000" w:sz="4" w:space="0"/>
            </w:tcBorders>
            <w:vAlign w:val="center"/>
          </w:tcPr>
          <w:p w14:paraId="16714623">
            <w:pPr>
              <w:jc w:val="center"/>
              <w:rPr>
                <w:rFonts w:ascii="宋体" w:hAnsi="宋体" w:cs="宋体"/>
                <w:color w:val="000000"/>
                <w:kern w:val="0"/>
                <w:szCs w:val="21"/>
              </w:rPr>
            </w:pPr>
            <w:r>
              <w:rPr>
                <w:rFonts w:hint="eastAsia" w:ascii="宋体" w:hAnsi="宋体" w:cs="宋体"/>
                <w:color w:val="000000"/>
                <w:kern w:val="0"/>
                <w:szCs w:val="21"/>
              </w:rPr>
              <w:t>-0.594</w:t>
            </w:r>
          </w:p>
        </w:tc>
      </w:tr>
      <w:tr w14:paraId="7F2DD6FB">
        <w:tblPrEx>
          <w:tblCellMar>
            <w:top w:w="15" w:type="dxa"/>
            <w:left w:w="15" w:type="dxa"/>
            <w:bottom w:w="15" w:type="dxa"/>
            <w:right w:w="15" w:type="dxa"/>
          </w:tblCellMar>
        </w:tblPrEx>
        <w:trPr>
          <w:trHeight w:val="386" w:hRule="atLeast"/>
        </w:trPr>
        <w:tc>
          <w:tcPr>
            <w:tcW w:w="1704" w:type="dxa"/>
            <w:tcBorders>
              <w:top w:val="single" w:color="000000" w:sz="4" w:space="0"/>
              <w:left w:val="single" w:color="000000" w:sz="4" w:space="0"/>
              <w:bottom w:val="single" w:color="000000" w:sz="4" w:space="0"/>
              <w:right w:val="single" w:color="000000" w:sz="4" w:space="0"/>
            </w:tcBorders>
          </w:tcPr>
          <w:p w14:paraId="21C9B3B1">
            <w:pPr>
              <w:jc w:val="center"/>
              <w:rPr>
                <w:rFonts w:ascii="宋体" w:hAnsi="宋体" w:cs="宋体"/>
                <w:color w:val="000000"/>
                <w:kern w:val="0"/>
                <w:szCs w:val="21"/>
              </w:rPr>
            </w:pPr>
            <w:r>
              <w:rPr>
                <w:rFonts w:hint="eastAsia" w:ascii="宋体" w:hAnsi="宋体" w:cs="宋体"/>
                <w:color w:val="000000"/>
                <w:kern w:val="0"/>
                <w:szCs w:val="21"/>
              </w:rPr>
              <w:t>农贸市场影响度</w:t>
            </w:r>
          </w:p>
        </w:tc>
        <w:tc>
          <w:tcPr>
            <w:tcW w:w="990" w:type="dxa"/>
            <w:tcBorders>
              <w:top w:val="single" w:color="000000" w:sz="4" w:space="0"/>
              <w:left w:val="single" w:color="000000" w:sz="4" w:space="0"/>
              <w:bottom w:val="single" w:color="000000" w:sz="4" w:space="0"/>
              <w:right w:val="single" w:color="000000" w:sz="4" w:space="0"/>
            </w:tcBorders>
            <w:vAlign w:val="center"/>
          </w:tcPr>
          <w:p w14:paraId="238BC4C2">
            <w:pPr>
              <w:jc w:val="center"/>
              <w:rPr>
                <w:rFonts w:ascii="宋体" w:hAnsi="宋体" w:cs="宋体"/>
                <w:color w:val="000000"/>
                <w:kern w:val="0"/>
                <w:szCs w:val="21"/>
              </w:rPr>
            </w:pPr>
            <w:r>
              <w:rPr>
                <w:rFonts w:hint="eastAsia" w:ascii="宋体" w:hAnsi="宋体" w:cs="宋体"/>
                <w:color w:val="000000"/>
                <w:kern w:val="0"/>
                <w:szCs w:val="21"/>
              </w:rPr>
              <w:t>0.080</w:t>
            </w:r>
          </w:p>
        </w:tc>
        <w:tc>
          <w:tcPr>
            <w:tcW w:w="990" w:type="dxa"/>
            <w:tcBorders>
              <w:top w:val="single" w:color="000000" w:sz="4" w:space="0"/>
              <w:left w:val="single" w:color="000000" w:sz="4" w:space="0"/>
              <w:bottom w:val="single" w:color="000000" w:sz="4" w:space="0"/>
              <w:right w:val="single" w:color="000000" w:sz="4" w:space="0"/>
            </w:tcBorders>
            <w:vAlign w:val="center"/>
          </w:tcPr>
          <w:p w14:paraId="77E5A43C">
            <w:pPr>
              <w:jc w:val="center"/>
              <w:rPr>
                <w:rFonts w:ascii="宋体" w:hAnsi="宋体" w:cs="宋体"/>
                <w:color w:val="000000"/>
                <w:kern w:val="0"/>
                <w:szCs w:val="21"/>
              </w:rPr>
            </w:pPr>
            <w:r>
              <w:rPr>
                <w:rFonts w:hint="eastAsia" w:ascii="宋体" w:hAnsi="宋体" w:cs="宋体"/>
                <w:color w:val="000000"/>
                <w:kern w:val="0"/>
                <w:szCs w:val="21"/>
              </w:rPr>
              <w:t>0.912</w:t>
            </w:r>
          </w:p>
        </w:tc>
        <w:tc>
          <w:tcPr>
            <w:tcW w:w="1031" w:type="dxa"/>
            <w:tcBorders>
              <w:top w:val="single" w:color="000000" w:sz="4" w:space="0"/>
              <w:left w:val="single" w:color="000000" w:sz="4" w:space="0"/>
              <w:bottom w:val="single" w:color="000000" w:sz="4" w:space="0"/>
              <w:right w:val="single" w:color="000000" w:sz="4" w:space="0"/>
            </w:tcBorders>
            <w:vAlign w:val="center"/>
          </w:tcPr>
          <w:p w14:paraId="6389B459">
            <w:pPr>
              <w:jc w:val="center"/>
              <w:rPr>
                <w:rFonts w:ascii="宋体" w:hAnsi="宋体" w:cs="宋体"/>
                <w:color w:val="000000"/>
                <w:kern w:val="0"/>
                <w:szCs w:val="21"/>
              </w:rPr>
            </w:pPr>
            <w:r>
              <w:rPr>
                <w:rFonts w:hint="eastAsia" w:ascii="宋体" w:hAnsi="宋体" w:cs="宋体"/>
                <w:color w:val="000000"/>
                <w:kern w:val="0"/>
                <w:szCs w:val="21"/>
              </w:rPr>
              <w:t>0.456</w:t>
            </w:r>
          </w:p>
        </w:tc>
        <w:tc>
          <w:tcPr>
            <w:tcW w:w="1381" w:type="dxa"/>
            <w:tcBorders>
              <w:top w:val="single" w:color="000000" w:sz="4" w:space="0"/>
              <w:left w:val="single" w:color="000000" w:sz="4" w:space="0"/>
              <w:bottom w:val="single" w:color="000000" w:sz="4" w:space="0"/>
              <w:right w:val="single" w:color="000000" w:sz="4" w:space="0"/>
            </w:tcBorders>
            <w:vAlign w:val="center"/>
          </w:tcPr>
          <w:p w14:paraId="2FBBF6BC">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01E86AEE">
            <w:pPr>
              <w:jc w:val="center"/>
              <w:rPr>
                <w:rFonts w:ascii="宋体" w:hAnsi="宋体" w:cs="宋体"/>
                <w:color w:val="000000"/>
                <w:kern w:val="0"/>
                <w:szCs w:val="21"/>
              </w:rPr>
            </w:pPr>
            <w:r>
              <w:rPr>
                <w:rFonts w:hint="eastAsia" w:ascii="宋体" w:hAnsi="宋体" w:cs="宋体"/>
                <w:color w:val="000000"/>
                <w:kern w:val="0"/>
                <w:szCs w:val="21"/>
              </w:rPr>
              <w:t>-0.432</w:t>
            </w:r>
          </w:p>
        </w:tc>
        <w:tc>
          <w:tcPr>
            <w:tcW w:w="1134" w:type="dxa"/>
            <w:tcBorders>
              <w:top w:val="single" w:color="000000" w:sz="4" w:space="0"/>
              <w:left w:val="single" w:color="000000" w:sz="4" w:space="0"/>
              <w:bottom w:val="single" w:color="000000" w:sz="4" w:space="0"/>
              <w:right w:val="single" w:color="000000" w:sz="4" w:space="0"/>
            </w:tcBorders>
            <w:vAlign w:val="center"/>
          </w:tcPr>
          <w:p w14:paraId="58CD529A">
            <w:pPr>
              <w:jc w:val="center"/>
              <w:rPr>
                <w:rFonts w:ascii="宋体" w:hAnsi="宋体" w:cs="宋体"/>
                <w:color w:val="000000"/>
                <w:kern w:val="0"/>
                <w:szCs w:val="21"/>
              </w:rPr>
            </w:pPr>
            <w:r>
              <w:rPr>
                <w:rFonts w:hint="eastAsia" w:ascii="宋体" w:hAnsi="宋体" w:cs="宋体"/>
                <w:color w:val="000000"/>
                <w:kern w:val="0"/>
                <w:szCs w:val="21"/>
              </w:rPr>
              <w:t>-0.864</w:t>
            </w:r>
          </w:p>
        </w:tc>
      </w:tr>
      <w:tr w14:paraId="4E635AAE">
        <w:tblPrEx>
          <w:tblCellMar>
            <w:top w:w="15" w:type="dxa"/>
            <w:left w:w="15" w:type="dxa"/>
            <w:bottom w:w="15" w:type="dxa"/>
            <w:right w:w="15" w:type="dxa"/>
          </w:tblCellMar>
        </w:tblPrEx>
        <w:trPr>
          <w:trHeight w:val="378" w:hRule="atLeast"/>
        </w:trPr>
        <w:tc>
          <w:tcPr>
            <w:tcW w:w="1704" w:type="dxa"/>
            <w:tcBorders>
              <w:top w:val="single" w:color="000000" w:sz="4" w:space="0"/>
              <w:left w:val="single" w:color="000000" w:sz="4" w:space="0"/>
              <w:bottom w:val="single" w:color="000000" w:sz="4" w:space="0"/>
              <w:right w:val="single" w:color="000000" w:sz="4" w:space="0"/>
            </w:tcBorders>
          </w:tcPr>
          <w:p w14:paraId="59273055">
            <w:pPr>
              <w:jc w:val="center"/>
              <w:rPr>
                <w:rFonts w:ascii="宋体" w:hAnsi="宋体" w:cs="宋体"/>
                <w:color w:val="000000"/>
                <w:kern w:val="0"/>
                <w:szCs w:val="21"/>
              </w:rPr>
            </w:pPr>
            <w:r>
              <w:rPr>
                <w:rFonts w:hint="eastAsia" w:ascii="宋体" w:hAnsi="宋体" w:cs="宋体"/>
                <w:color w:val="000000"/>
                <w:kern w:val="0"/>
                <w:szCs w:val="21"/>
              </w:rPr>
              <w:t>道路通达度</w:t>
            </w:r>
          </w:p>
        </w:tc>
        <w:tc>
          <w:tcPr>
            <w:tcW w:w="990" w:type="dxa"/>
            <w:tcBorders>
              <w:top w:val="single" w:color="000000" w:sz="4" w:space="0"/>
              <w:left w:val="single" w:color="000000" w:sz="4" w:space="0"/>
              <w:bottom w:val="single" w:color="000000" w:sz="4" w:space="0"/>
              <w:right w:val="single" w:color="000000" w:sz="4" w:space="0"/>
            </w:tcBorders>
            <w:vAlign w:val="center"/>
          </w:tcPr>
          <w:p w14:paraId="1FF75772">
            <w:pPr>
              <w:jc w:val="center"/>
              <w:rPr>
                <w:rFonts w:ascii="宋体" w:hAnsi="宋体" w:cs="宋体"/>
                <w:color w:val="000000"/>
                <w:kern w:val="0"/>
                <w:szCs w:val="21"/>
              </w:rPr>
            </w:pPr>
            <w:r>
              <w:rPr>
                <w:rFonts w:hint="eastAsia" w:ascii="宋体" w:hAnsi="宋体" w:cs="宋体"/>
                <w:color w:val="000000"/>
                <w:kern w:val="0"/>
                <w:szCs w:val="21"/>
              </w:rPr>
              <w:t>0.080</w:t>
            </w:r>
          </w:p>
        </w:tc>
        <w:tc>
          <w:tcPr>
            <w:tcW w:w="990" w:type="dxa"/>
            <w:tcBorders>
              <w:top w:val="single" w:color="000000" w:sz="4" w:space="0"/>
              <w:left w:val="single" w:color="000000" w:sz="4" w:space="0"/>
              <w:bottom w:val="single" w:color="000000" w:sz="4" w:space="0"/>
              <w:right w:val="single" w:color="000000" w:sz="4" w:space="0"/>
            </w:tcBorders>
            <w:vAlign w:val="center"/>
          </w:tcPr>
          <w:p w14:paraId="2CCB4D28">
            <w:pPr>
              <w:jc w:val="center"/>
              <w:rPr>
                <w:rFonts w:ascii="宋体" w:hAnsi="宋体" w:cs="宋体"/>
                <w:color w:val="000000"/>
                <w:kern w:val="0"/>
                <w:szCs w:val="21"/>
              </w:rPr>
            </w:pPr>
            <w:r>
              <w:rPr>
                <w:rFonts w:hint="eastAsia" w:ascii="宋体" w:hAnsi="宋体" w:cs="宋体"/>
                <w:color w:val="000000"/>
                <w:kern w:val="0"/>
                <w:szCs w:val="21"/>
              </w:rPr>
              <w:t>0.912</w:t>
            </w:r>
          </w:p>
        </w:tc>
        <w:tc>
          <w:tcPr>
            <w:tcW w:w="1031" w:type="dxa"/>
            <w:tcBorders>
              <w:top w:val="single" w:color="000000" w:sz="4" w:space="0"/>
              <w:left w:val="single" w:color="000000" w:sz="4" w:space="0"/>
              <w:bottom w:val="single" w:color="000000" w:sz="4" w:space="0"/>
              <w:right w:val="single" w:color="000000" w:sz="4" w:space="0"/>
            </w:tcBorders>
            <w:vAlign w:val="center"/>
          </w:tcPr>
          <w:p w14:paraId="54FB56CB">
            <w:pPr>
              <w:jc w:val="center"/>
              <w:rPr>
                <w:rFonts w:ascii="宋体" w:hAnsi="宋体" w:cs="宋体"/>
                <w:color w:val="000000"/>
                <w:kern w:val="0"/>
                <w:szCs w:val="21"/>
              </w:rPr>
            </w:pPr>
            <w:r>
              <w:rPr>
                <w:rFonts w:hint="eastAsia" w:ascii="宋体" w:hAnsi="宋体" w:cs="宋体"/>
                <w:color w:val="000000"/>
                <w:kern w:val="0"/>
                <w:szCs w:val="21"/>
              </w:rPr>
              <w:t>0.456</w:t>
            </w:r>
          </w:p>
        </w:tc>
        <w:tc>
          <w:tcPr>
            <w:tcW w:w="1381" w:type="dxa"/>
            <w:tcBorders>
              <w:top w:val="single" w:color="000000" w:sz="4" w:space="0"/>
              <w:left w:val="single" w:color="000000" w:sz="4" w:space="0"/>
              <w:bottom w:val="single" w:color="000000" w:sz="4" w:space="0"/>
              <w:right w:val="single" w:color="000000" w:sz="4" w:space="0"/>
            </w:tcBorders>
            <w:vAlign w:val="center"/>
          </w:tcPr>
          <w:p w14:paraId="5D4262C1">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7CBF7AED">
            <w:pPr>
              <w:jc w:val="center"/>
              <w:rPr>
                <w:rFonts w:ascii="宋体" w:hAnsi="宋体" w:cs="宋体"/>
                <w:color w:val="000000"/>
                <w:kern w:val="0"/>
                <w:szCs w:val="21"/>
              </w:rPr>
            </w:pPr>
            <w:r>
              <w:rPr>
                <w:rFonts w:hint="eastAsia" w:ascii="宋体" w:hAnsi="宋体" w:cs="宋体"/>
                <w:color w:val="000000"/>
                <w:kern w:val="0"/>
                <w:szCs w:val="21"/>
              </w:rPr>
              <w:t>-0.432</w:t>
            </w:r>
          </w:p>
        </w:tc>
        <w:tc>
          <w:tcPr>
            <w:tcW w:w="1134" w:type="dxa"/>
            <w:tcBorders>
              <w:top w:val="single" w:color="000000" w:sz="4" w:space="0"/>
              <w:left w:val="single" w:color="000000" w:sz="4" w:space="0"/>
              <w:bottom w:val="single" w:color="000000" w:sz="4" w:space="0"/>
              <w:right w:val="single" w:color="000000" w:sz="4" w:space="0"/>
            </w:tcBorders>
            <w:vAlign w:val="center"/>
          </w:tcPr>
          <w:p w14:paraId="0A289AA7">
            <w:pPr>
              <w:jc w:val="center"/>
              <w:rPr>
                <w:rFonts w:ascii="宋体" w:hAnsi="宋体" w:cs="宋体"/>
                <w:color w:val="000000"/>
                <w:kern w:val="0"/>
                <w:szCs w:val="21"/>
              </w:rPr>
            </w:pPr>
            <w:r>
              <w:rPr>
                <w:rFonts w:hint="eastAsia" w:ascii="宋体" w:hAnsi="宋体" w:cs="宋体"/>
                <w:color w:val="000000"/>
                <w:kern w:val="0"/>
                <w:szCs w:val="21"/>
              </w:rPr>
              <w:t>-0.864</w:t>
            </w:r>
          </w:p>
        </w:tc>
      </w:tr>
      <w:tr w14:paraId="43819525">
        <w:tblPrEx>
          <w:tblCellMar>
            <w:top w:w="15" w:type="dxa"/>
            <w:left w:w="15" w:type="dxa"/>
            <w:bottom w:w="15" w:type="dxa"/>
            <w:right w:w="15" w:type="dxa"/>
          </w:tblCellMar>
        </w:tblPrEx>
        <w:trPr>
          <w:trHeight w:val="284" w:hRule="atLeast"/>
        </w:trPr>
        <w:tc>
          <w:tcPr>
            <w:tcW w:w="1704" w:type="dxa"/>
            <w:tcBorders>
              <w:top w:val="single" w:color="000000" w:sz="4" w:space="0"/>
              <w:left w:val="single" w:color="000000" w:sz="4" w:space="0"/>
              <w:bottom w:val="single" w:color="000000" w:sz="4" w:space="0"/>
              <w:right w:val="single" w:color="000000" w:sz="4" w:space="0"/>
            </w:tcBorders>
          </w:tcPr>
          <w:p w14:paraId="3E7822EF">
            <w:pPr>
              <w:jc w:val="center"/>
              <w:rPr>
                <w:rFonts w:ascii="宋体" w:hAnsi="宋体" w:cs="宋体"/>
                <w:color w:val="000000"/>
                <w:kern w:val="0"/>
                <w:szCs w:val="21"/>
              </w:rPr>
            </w:pPr>
            <w:r>
              <w:rPr>
                <w:rFonts w:hint="eastAsia" w:ascii="宋体" w:hAnsi="宋体" w:cs="宋体"/>
                <w:color w:val="000000"/>
                <w:kern w:val="0"/>
                <w:szCs w:val="21"/>
              </w:rPr>
              <w:t>排水条件</w:t>
            </w:r>
          </w:p>
        </w:tc>
        <w:tc>
          <w:tcPr>
            <w:tcW w:w="990" w:type="dxa"/>
            <w:tcBorders>
              <w:top w:val="single" w:color="000000" w:sz="4" w:space="0"/>
              <w:left w:val="single" w:color="000000" w:sz="4" w:space="0"/>
              <w:bottom w:val="single" w:color="000000" w:sz="4" w:space="0"/>
              <w:right w:val="single" w:color="000000" w:sz="4" w:space="0"/>
            </w:tcBorders>
            <w:vAlign w:val="center"/>
          </w:tcPr>
          <w:p w14:paraId="464D200D">
            <w:pPr>
              <w:jc w:val="center"/>
              <w:rPr>
                <w:rFonts w:ascii="宋体" w:hAnsi="宋体" w:cs="宋体"/>
                <w:color w:val="000000"/>
                <w:kern w:val="0"/>
                <w:szCs w:val="21"/>
              </w:rPr>
            </w:pPr>
            <w:r>
              <w:rPr>
                <w:rFonts w:hint="eastAsia" w:ascii="宋体" w:hAnsi="宋体" w:cs="宋体"/>
                <w:color w:val="000000"/>
                <w:kern w:val="0"/>
                <w:szCs w:val="21"/>
              </w:rPr>
              <w:t>0.060</w:t>
            </w:r>
          </w:p>
        </w:tc>
        <w:tc>
          <w:tcPr>
            <w:tcW w:w="990" w:type="dxa"/>
            <w:tcBorders>
              <w:top w:val="single" w:color="000000" w:sz="4" w:space="0"/>
              <w:left w:val="single" w:color="000000" w:sz="4" w:space="0"/>
              <w:bottom w:val="single" w:color="000000" w:sz="4" w:space="0"/>
              <w:right w:val="single" w:color="000000" w:sz="4" w:space="0"/>
            </w:tcBorders>
            <w:vAlign w:val="center"/>
          </w:tcPr>
          <w:p w14:paraId="463A6BF1">
            <w:pPr>
              <w:jc w:val="center"/>
              <w:rPr>
                <w:rFonts w:ascii="宋体" w:hAnsi="宋体" w:cs="宋体"/>
                <w:color w:val="000000"/>
                <w:kern w:val="0"/>
                <w:szCs w:val="21"/>
              </w:rPr>
            </w:pPr>
            <w:r>
              <w:rPr>
                <w:rFonts w:hint="eastAsia" w:ascii="宋体" w:hAnsi="宋体" w:cs="宋体"/>
                <w:color w:val="000000"/>
                <w:kern w:val="0"/>
                <w:szCs w:val="21"/>
              </w:rPr>
              <w:t>0.684</w:t>
            </w:r>
          </w:p>
        </w:tc>
        <w:tc>
          <w:tcPr>
            <w:tcW w:w="1031" w:type="dxa"/>
            <w:tcBorders>
              <w:top w:val="single" w:color="000000" w:sz="4" w:space="0"/>
              <w:left w:val="single" w:color="000000" w:sz="4" w:space="0"/>
              <w:bottom w:val="single" w:color="000000" w:sz="4" w:space="0"/>
              <w:right w:val="single" w:color="000000" w:sz="4" w:space="0"/>
            </w:tcBorders>
            <w:vAlign w:val="center"/>
          </w:tcPr>
          <w:p w14:paraId="5F94E6BB">
            <w:pPr>
              <w:jc w:val="center"/>
              <w:rPr>
                <w:rFonts w:ascii="宋体" w:hAnsi="宋体" w:cs="宋体"/>
                <w:color w:val="000000"/>
                <w:kern w:val="0"/>
                <w:szCs w:val="21"/>
              </w:rPr>
            </w:pPr>
            <w:r>
              <w:rPr>
                <w:rFonts w:hint="eastAsia" w:ascii="宋体" w:hAnsi="宋体" w:cs="宋体"/>
                <w:color w:val="000000"/>
                <w:kern w:val="0"/>
                <w:szCs w:val="21"/>
              </w:rPr>
              <w:t>0.342</w:t>
            </w:r>
          </w:p>
        </w:tc>
        <w:tc>
          <w:tcPr>
            <w:tcW w:w="1381" w:type="dxa"/>
            <w:tcBorders>
              <w:top w:val="single" w:color="000000" w:sz="4" w:space="0"/>
              <w:left w:val="single" w:color="000000" w:sz="4" w:space="0"/>
              <w:bottom w:val="single" w:color="000000" w:sz="4" w:space="0"/>
              <w:right w:val="single" w:color="000000" w:sz="4" w:space="0"/>
            </w:tcBorders>
            <w:vAlign w:val="center"/>
          </w:tcPr>
          <w:p w14:paraId="504C1E51">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325C7652">
            <w:pPr>
              <w:jc w:val="center"/>
              <w:rPr>
                <w:rFonts w:ascii="宋体" w:hAnsi="宋体" w:cs="宋体"/>
                <w:color w:val="000000"/>
                <w:kern w:val="0"/>
                <w:szCs w:val="21"/>
              </w:rPr>
            </w:pPr>
            <w:r>
              <w:rPr>
                <w:rFonts w:hint="eastAsia" w:ascii="宋体" w:hAnsi="宋体" w:cs="宋体"/>
                <w:color w:val="000000"/>
                <w:kern w:val="0"/>
                <w:szCs w:val="21"/>
              </w:rPr>
              <w:t>-0.324</w:t>
            </w:r>
          </w:p>
        </w:tc>
        <w:tc>
          <w:tcPr>
            <w:tcW w:w="1134" w:type="dxa"/>
            <w:tcBorders>
              <w:top w:val="single" w:color="000000" w:sz="4" w:space="0"/>
              <w:left w:val="single" w:color="000000" w:sz="4" w:space="0"/>
              <w:bottom w:val="single" w:color="000000" w:sz="4" w:space="0"/>
              <w:right w:val="single" w:color="000000" w:sz="4" w:space="0"/>
            </w:tcBorders>
            <w:vAlign w:val="center"/>
          </w:tcPr>
          <w:p w14:paraId="49DBCF89">
            <w:pPr>
              <w:jc w:val="center"/>
              <w:rPr>
                <w:rFonts w:ascii="宋体" w:hAnsi="宋体" w:cs="宋体"/>
                <w:color w:val="000000"/>
                <w:kern w:val="0"/>
                <w:szCs w:val="21"/>
              </w:rPr>
            </w:pPr>
            <w:r>
              <w:rPr>
                <w:rFonts w:hint="eastAsia" w:ascii="宋体" w:hAnsi="宋体" w:cs="宋体"/>
                <w:color w:val="000000"/>
                <w:kern w:val="0"/>
                <w:szCs w:val="21"/>
              </w:rPr>
              <w:t>-0.648</w:t>
            </w:r>
          </w:p>
        </w:tc>
      </w:tr>
      <w:tr w14:paraId="7C4284FE">
        <w:tblPrEx>
          <w:tblCellMar>
            <w:top w:w="15" w:type="dxa"/>
            <w:left w:w="15" w:type="dxa"/>
            <w:bottom w:w="15" w:type="dxa"/>
            <w:right w:w="15" w:type="dxa"/>
          </w:tblCellMar>
        </w:tblPrEx>
        <w:trPr>
          <w:trHeight w:val="318" w:hRule="atLeast"/>
        </w:trPr>
        <w:tc>
          <w:tcPr>
            <w:tcW w:w="1704" w:type="dxa"/>
            <w:tcBorders>
              <w:top w:val="single" w:color="000000" w:sz="4" w:space="0"/>
              <w:left w:val="single" w:color="000000" w:sz="4" w:space="0"/>
              <w:bottom w:val="single" w:color="000000" w:sz="4" w:space="0"/>
              <w:right w:val="single" w:color="000000" w:sz="4" w:space="0"/>
            </w:tcBorders>
          </w:tcPr>
          <w:p w14:paraId="09F711CE">
            <w:pPr>
              <w:jc w:val="center"/>
              <w:rPr>
                <w:rFonts w:ascii="宋体" w:hAnsi="宋体" w:cs="宋体"/>
                <w:color w:val="000000"/>
                <w:kern w:val="0"/>
                <w:szCs w:val="21"/>
              </w:rPr>
            </w:pPr>
            <w:r>
              <w:rPr>
                <w:rFonts w:hint="eastAsia" w:ascii="宋体" w:hAnsi="宋体" w:cs="宋体"/>
                <w:color w:val="000000"/>
                <w:kern w:val="0"/>
                <w:szCs w:val="21"/>
              </w:rPr>
              <w:t>灌溉保证率</w:t>
            </w:r>
          </w:p>
        </w:tc>
        <w:tc>
          <w:tcPr>
            <w:tcW w:w="990" w:type="dxa"/>
            <w:tcBorders>
              <w:top w:val="single" w:color="000000" w:sz="4" w:space="0"/>
              <w:left w:val="single" w:color="000000" w:sz="4" w:space="0"/>
              <w:bottom w:val="single" w:color="000000" w:sz="4" w:space="0"/>
              <w:right w:val="single" w:color="000000" w:sz="4" w:space="0"/>
            </w:tcBorders>
            <w:vAlign w:val="center"/>
          </w:tcPr>
          <w:p w14:paraId="019F5116">
            <w:pPr>
              <w:jc w:val="center"/>
              <w:rPr>
                <w:rFonts w:ascii="宋体" w:hAnsi="宋体" w:cs="宋体"/>
                <w:color w:val="000000"/>
                <w:kern w:val="0"/>
                <w:szCs w:val="21"/>
              </w:rPr>
            </w:pPr>
            <w:r>
              <w:rPr>
                <w:rFonts w:hint="eastAsia" w:ascii="宋体" w:hAnsi="宋体" w:cs="宋体"/>
                <w:color w:val="000000"/>
                <w:kern w:val="0"/>
                <w:szCs w:val="21"/>
              </w:rPr>
              <w:t>0.060</w:t>
            </w:r>
          </w:p>
        </w:tc>
        <w:tc>
          <w:tcPr>
            <w:tcW w:w="990" w:type="dxa"/>
            <w:tcBorders>
              <w:top w:val="single" w:color="000000" w:sz="4" w:space="0"/>
              <w:left w:val="single" w:color="000000" w:sz="4" w:space="0"/>
              <w:bottom w:val="single" w:color="000000" w:sz="4" w:space="0"/>
              <w:right w:val="single" w:color="000000" w:sz="4" w:space="0"/>
            </w:tcBorders>
            <w:vAlign w:val="center"/>
          </w:tcPr>
          <w:p w14:paraId="3B9BDC5F">
            <w:pPr>
              <w:jc w:val="center"/>
              <w:rPr>
                <w:rFonts w:ascii="宋体" w:hAnsi="宋体" w:cs="宋体"/>
                <w:color w:val="000000"/>
                <w:kern w:val="0"/>
                <w:szCs w:val="21"/>
              </w:rPr>
            </w:pPr>
            <w:r>
              <w:rPr>
                <w:rFonts w:hint="eastAsia" w:ascii="宋体" w:hAnsi="宋体" w:cs="宋体"/>
                <w:color w:val="000000"/>
                <w:kern w:val="0"/>
                <w:szCs w:val="21"/>
              </w:rPr>
              <w:t>0.684</w:t>
            </w:r>
          </w:p>
        </w:tc>
        <w:tc>
          <w:tcPr>
            <w:tcW w:w="1031" w:type="dxa"/>
            <w:tcBorders>
              <w:top w:val="single" w:color="000000" w:sz="4" w:space="0"/>
              <w:left w:val="single" w:color="000000" w:sz="4" w:space="0"/>
              <w:bottom w:val="single" w:color="000000" w:sz="4" w:space="0"/>
              <w:right w:val="single" w:color="000000" w:sz="4" w:space="0"/>
            </w:tcBorders>
            <w:vAlign w:val="center"/>
          </w:tcPr>
          <w:p w14:paraId="20D2A292">
            <w:pPr>
              <w:jc w:val="center"/>
              <w:rPr>
                <w:rFonts w:ascii="宋体" w:hAnsi="宋体" w:cs="宋体"/>
                <w:color w:val="000000"/>
                <w:kern w:val="0"/>
                <w:szCs w:val="21"/>
              </w:rPr>
            </w:pPr>
            <w:r>
              <w:rPr>
                <w:rFonts w:hint="eastAsia" w:ascii="宋体" w:hAnsi="宋体" w:cs="宋体"/>
                <w:color w:val="000000"/>
                <w:kern w:val="0"/>
                <w:szCs w:val="21"/>
              </w:rPr>
              <w:t>0.342</w:t>
            </w:r>
          </w:p>
        </w:tc>
        <w:tc>
          <w:tcPr>
            <w:tcW w:w="1381" w:type="dxa"/>
            <w:tcBorders>
              <w:top w:val="single" w:color="000000" w:sz="4" w:space="0"/>
              <w:left w:val="single" w:color="000000" w:sz="4" w:space="0"/>
              <w:bottom w:val="single" w:color="000000" w:sz="4" w:space="0"/>
              <w:right w:val="single" w:color="000000" w:sz="4" w:space="0"/>
            </w:tcBorders>
            <w:vAlign w:val="center"/>
          </w:tcPr>
          <w:p w14:paraId="2DAD2424">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447846C2">
            <w:pPr>
              <w:jc w:val="center"/>
              <w:rPr>
                <w:rFonts w:ascii="宋体" w:hAnsi="宋体" w:cs="宋体"/>
                <w:color w:val="000000"/>
                <w:kern w:val="0"/>
                <w:szCs w:val="21"/>
              </w:rPr>
            </w:pPr>
            <w:r>
              <w:rPr>
                <w:rFonts w:hint="eastAsia" w:ascii="宋体" w:hAnsi="宋体" w:cs="宋体"/>
                <w:color w:val="000000"/>
                <w:kern w:val="0"/>
                <w:szCs w:val="21"/>
              </w:rPr>
              <w:t>-0.324</w:t>
            </w:r>
          </w:p>
        </w:tc>
        <w:tc>
          <w:tcPr>
            <w:tcW w:w="1134" w:type="dxa"/>
            <w:tcBorders>
              <w:top w:val="single" w:color="000000" w:sz="4" w:space="0"/>
              <w:left w:val="single" w:color="000000" w:sz="4" w:space="0"/>
              <w:bottom w:val="single" w:color="000000" w:sz="4" w:space="0"/>
              <w:right w:val="single" w:color="000000" w:sz="4" w:space="0"/>
            </w:tcBorders>
            <w:vAlign w:val="center"/>
          </w:tcPr>
          <w:p w14:paraId="6B0FA35D">
            <w:pPr>
              <w:jc w:val="center"/>
              <w:rPr>
                <w:rFonts w:ascii="宋体" w:hAnsi="宋体" w:cs="宋体"/>
                <w:color w:val="000000"/>
                <w:kern w:val="0"/>
                <w:szCs w:val="21"/>
              </w:rPr>
            </w:pPr>
            <w:r>
              <w:rPr>
                <w:rFonts w:hint="eastAsia" w:ascii="宋体" w:hAnsi="宋体" w:cs="宋体"/>
                <w:color w:val="000000"/>
                <w:kern w:val="0"/>
                <w:szCs w:val="21"/>
              </w:rPr>
              <w:t>-0.648</w:t>
            </w:r>
          </w:p>
        </w:tc>
      </w:tr>
      <w:tr w14:paraId="649D62BE">
        <w:tblPrEx>
          <w:tblCellMar>
            <w:top w:w="15" w:type="dxa"/>
            <w:left w:w="15" w:type="dxa"/>
            <w:bottom w:w="15" w:type="dxa"/>
            <w:right w:w="15" w:type="dxa"/>
          </w:tblCellMar>
        </w:tblPrEx>
        <w:trPr>
          <w:trHeight w:val="238" w:hRule="atLeast"/>
        </w:trPr>
        <w:tc>
          <w:tcPr>
            <w:tcW w:w="1704" w:type="dxa"/>
            <w:tcBorders>
              <w:top w:val="single" w:color="000000" w:sz="4" w:space="0"/>
              <w:left w:val="single" w:color="000000" w:sz="4" w:space="0"/>
              <w:bottom w:val="single" w:color="000000" w:sz="4" w:space="0"/>
              <w:right w:val="single" w:color="000000" w:sz="4" w:space="0"/>
            </w:tcBorders>
          </w:tcPr>
          <w:p w14:paraId="52E0E93A">
            <w:pPr>
              <w:jc w:val="center"/>
              <w:rPr>
                <w:rFonts w:ascii="宋体" w:hAnsi="宋体" w:cs="宋体"/>
                <w:color w:val="000000"/>
                <w:kern w:val="0"/>
                <w:szCs w:val="21"/>
              </w:rPr>
            </w:pPr>
            <w:r>
              <w:rPr>
                <w:rFonts w:hint="eastAsia" w:ascii="宋体" w:hAnsi="宋体" w:cs="宋体"/>
                <w:color w:val="000000"/>
                <w:kern w:val="0"/>
                <w:szCs w:val="21"/>
              </w:rPr>
              <w:t>亩均资金投入</w:t>
            </w:r>
          </w:p>
        </w:tc>
        <w:tc>
          <w:tcPr>
            <w:tcW w:w="990" w:type="dxa"/>
            <w:tcBorders>
              <w:top w:val="single" w:color="000000" w:sz="4" w:space="0"/>
              <w:left w:val="single" w:color="000000" w:sz="4" w:space="0"/>
              <w:bottom w:val="single" w:color="000000" w:sz="4" w:space="0"/>
              <w:right w:val="single" w:color="000000" w:sz="4" w:space="0"/>
            </w:tcBorders>
            <w:vAlign w:val="center"/>
          </w:tcPr>
          <w:p w14:paraId="7CEDD1DE">
            <w:pPr>
              <w:jc w:val="center"/>
              <w:rPr>
                <w:rFonts w:ascii="宋体" w:hAnsi="宋体" w:cs="宋体"/>
                <w:color w:val="000000"/>
                <w:kern w:val="0"/>
                <w:szCs w:val="21"/>
              </w:rPr>
            </w:pPr>
            <w:r>
              <w:rPr>
                <w:rFonts w:hint="eastAsia" w:ascii="宋体" w:hAnsi="宋体" w:cs="宋体"/>
                <w:color w:val="000000"/>
                <w:kern w:val="0"/>
                <w:szCs w:val="21"/>
              </w:rPr>
              <w:t>0.060</w:t>
            </w:r>
          </w:p>
        </w:tc>
        <w:tc>
          <w:tcPr>
            <w:tcW w:w="990" w:type="dxa"/>
            <w:tcBorders>
              <w:top w:val="single" w:color="000000" w:sz="4" w:space="0"/>
              <w:left w:val="single" w:color="000000" w:sz="4" w:space="0"/>
              <w:bottom w:val="single" w:color="000000" w:sz="4" w:space="0"/>
              <w:right w:val="single" w:color="000000" w:sz="4" w:space="0"/>
            </w:tcBorders>
            <w:vAlign w:val="center"/>
          </w:tcPr>
          <w:p w14:paraId="2FDCCE8D">
            <w:pPr>
              <w:jc w:val="center"/>
              <w:rPr>
                <w:rFonts w:ascii="宋体" w:hAnsi="宋体" w:cs="宋体"/>
                <w:color w:val="000000"/>
                <w:kern w:val="0"/>
                <w:szCs w:val="21"/>
              </w:rPr>
            </w:pPr>
            <w:r>
              <w:rPr>
                <w:rFonts w:hint="eastAsia" w:ascii="宋体" w:hAnsi="宋体" w:cs="宋体"/>
                <w:color w:val="000000"/>
                <w:kern w:val="0"/>
                <w:szCs w:val="21"/>
              </w:rPr>
              <w:t>0.684</w:t>
            </w:r>
          </w:p>
        </w:tc>
        <w:tc>
          <w:tcPr>
            <w:tcW w:w="1031" w:type="dxa"/>
            <w:tcBorders>
              <w:top w:val="single" w:color="000000" w:sz="4" w:space="0"/>
              <w:left w:val="single" w:color="000000" w:sz="4" w:space="0"/>
              <w:bottom w:val="single" w:color="000000" w:sz="4" w:space="0"/>
              <w:right w:val="single" w:color="000000" w:sz="4" w:space="0"/>
            </w:tcBorders>
            <w:vAlign w:val="center"/>
          </w:tcPr>
          <w:p w14:paraId="286C3759">
            <w:pPr>
              <w:jc w:val="center"/>
              <w:rPr>
                <w:rFonts w:ascii="宋体" w:hAnsi="宋体" w:cs="宋体"/>
                <w:color w:val="000000"/>
                <w:kern w:val="0"/>
                <w:szCs w:val="21"/>
              </w:rPr>
            </w:pPr>
            <w:r>
              <w:rPr>
                <w:rFonts w:hint="eastAsia" w:ascii="宋体" w:hAnsi="宋体" w:cs="宋体"/>
                <w:color w:val="000000"/>
                <w:kern w:val="0"/>
                <w:szCs w:val="21"/>
              </w:rPr>
              <w:t>0.342</w:t>
            </w:r>
          </w:p>
        </w:tc>
        <w:tc>
          <w:tcPr>
            <w:tcW w:w="1381" w:type="dxa"/>
            <w:tcBorders>
              <w:top w:val="single" w:color="000000" w:sz="4" w:space="0"/>
              <w:left w:val="single" w:color="000000" w:sz="4" w:space="0"/>
              <w:bottom w:val="single" w:color="000000" w:sz="4" w:space="0"/>
              <w:right w:val="single" w:color="000000" w:sz="4" w:space="0"/>
            </w:tcBorders>
            <w:vAlign w:val="center"/>
          </w:tcPr>
          <w:p w14:paraId="7D97DC6E">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564F26CF">
            <w:pPr>
              <w:jc w:val="center"/>
              <w:rPr>
                <w:rFonts w:ascii="宋体" w:hAnsi="宋体" w:cs="宋体"/>
                <w:color w:val="000000"/>
                <w:kern w:val="0"/>
                <w:szCs w:val="21"/>
              </w:rPr>
            </w:pPr>
            <w:r>
              <w:rPr>
                <w:rFonts w:hint="eastAsia" w:ascii="宋体" w:hAnsi="宋体" w:cs="宋体"/>
                <w:color w:val="000000"/>
                <w:kern w:val="0"/>
                <w:szCs w:val="21"/>
              </w:rPr>
              <w:t>-0.324</w:t>
            </w:r>
          </w:p>
        </w:tc>
        <w:tc>
          <w:tcPr>
            <w:tcW w:w="1134" w:type="dxa"/>
            <w:tcBorders>
              <w:top w:val="single" w:color="000000" w:sz="4" w:space="0"/>
              <w:left w:val="single" w:color="000000" w:sz="4" w:space="0"/>
              <w:bottom w:val="single" w:color="000000" w:sz="4" w:space="0"/>
              <w:right w:val="single" w:color="000000" w:sz="4" w:space="0"/>
            </w:tcBorders>
            <w:vAlign w:val="center"/>
          </w:tcPr>
          <w:p w14:paraId="1A71AFEA">
            <w:pPr>
              <w:jc w:val="center"/>
              <w:rPr>
                <w:rFonts w:ascii="宋体" w:hAnsi="宋体" w:cs="宋体"/>
                <w:color w:val="000000"/>
                <w:kern w:val="0"/>
                <w:szCs w:val="21"/>
              </w:rPr>
            </w:pPr>
            <w:r>
              <w:rPr>
                <w:rFonts w:hint="eastAsia" w:ascii="宋体" w:hAnsi="宋体" w:cs="宋体"/>
                <w:color w:val="000000"/>
                <w:kern w:val="0"/>
                <w:szCs w:val="21"/>
              </w:rPr>
              <w:t>-0.648</w:t>
            </w:r>
          </w:p>
        </w:tc>
      </w:tr>
      <w:tr w14:paraId="42E54F27">
        <w:tblPrEx>
          <w:tblCellMar>
            <w:top w:w="15" w:type="dxa"/>
            <w:left w:w="15" w:type="dxa"/>
            <w:bottom w:w="15" w:type="dxa"/>
            <w:right w:w="15" w:type="dxa"/>
          </w:tblCellMar>
        </w:tblPrEx>
        <w:trPr>
          <w:trHeight w:val="172" w:hRule="atLeast"/>
        </w:trPr>
        <w:tc>
          <w:tcPr>
            <w:tcW w:w="1704" w:type="dxa"/>
            <w:tcBorders>
              <w:top w:val="single" w:color="000000" w:sz="4" w:space="0"/>
              <w:left w:val="single" w:color="000000" w:sz="4" w:space="0"/>
              <w:bottom w:val="single" w:color="000000" w:sz="4" w:space="0"/>
              <w:right w:val="single" w:color="000000" w:sz="4" w:space="0"/>
            </w:tcBorders>
          </w:tcPr>
          <w:p w14:paraId="02115B47">
            <w:pPr>
              <w:jc w:val="center"/>
              <w:rPr>
                <w:rFonts w:ascii="宋体" w:hAnsi="宋体" w:cs="宋体"/>
                <w:color w:val="000000"/>
                <w:kern w:val="0"/>
                <w:szCs w:val="21"/>
              </w:rPr>
            </w:pPr>
            <w:r>
              <w:rPr>
                <w:rFonts w:hint="eastAsia" w:ascii="宋体" w:hAnsi="宋体" w:cs="宋体"/>
                <w:color w:val="000000"/>
                <w:kern w:val="0"/>
                <w:szCs w:val="21"/>
              </w:rPr>
              <w:t>亩均纯收益</w:t>
            </w:r>
          </w:p>
        </w:tc>
        <w:tc>
          <w:tcPr>
            <w:tcW w:w="990" w:type="dxa"/>
            <w:tcBorders>
              <w:top w:val="single" w:color="000000" w:sz="4" w:space="0"/>
              <w:left w:val="single" w:color="000000" w:sz="4" w:space="0"/>
              <w:bottom w:val="single" w:color="000000" w:sz="4" w:space="0"/>
              <w:right w:val="single" w:color="000000" w:sz="4" w:space="0"/>
            </w:tcBorders>
            <w:vAlign w:val="center"/>
          </w:tcPr>
          <w:p w14:paraId="48471AA0">
            <w:pPr>
              <w:jc w:val="center"/>
              <w:rPr>
                <w:rFonts w:ascii="宋体" w:hAnsi="宋体" w:cs="宋体"/>
                <w:color w:val="000000"/>
                <w:kern w:val="0"/>
                <w:szCs w:val="21"/>
              </w:rPr>
            </w:pPr>
            <w:r>
              <w:rPr>
                <w:rFonts w:hint="eastAsia" w:ascii="宋体" w:hAnsi="宋体" w:cs="宋体"/>
                <w:color w:val="000000"/>
                <w:kern w:val="0"/>
                <w:szCs w:val="21"/>
              </w:rPr>
              <w:t>0.060</w:t>
            </w:r>
          </w:p>
        </w:tc>
        <w:tc>
          <w:tcPr>
            <w:tcW w:w="990" w:type="dxa"/>
            <w:tcBorders>
              <w:top w:val="single" w:color="000000" w:sz="4" w:space="0"/>
              <w:left w:val="single" w:color="000000" w:sz="4" w:space="0"/>
              <w:bottom w:val="single" w:color="000000" w:sz="4" w:space="0"/>
              <w:right w:val="single" w:color="000000" w:sz="4" w:space="0"/>
            </w:tcBorders>
            <w:vAlign w:val="center"/>
          </w:tcPr>
          <w:p w14:paraId="64376802">
            <w:pPr>
              <w:jc w:val="center"/>
              <w:rPr>
                <w:rFonts w:ascii="宋体" w:hAnsi="宋体" w:cs="宋体"/>
                <w:color w:val="000000"/>
                <w:kern w:val="0"/>
                <w:szCs w:val="21"/>
              </w:rPr>
            </w:pPr>
            <w:r>
              <w:rPr>
                <w:rFonts w:hint="eastAsia" w:ascii="宋体" w:hAnsi="宋体" w:cs="宋体"/>
                <w:color w:val="000000"/>
                <w:kern w:val="0"/>
                <w:szCs w:val="21"/>
              </w:rPr>
              <w:t>0.684</w:t>
            </w:r>
          </w:p>
        </w:tc>
        <w:tc>
          <w:tcPr>
            <w:tcW w:w="1031" w:type="dxa"/>
            <w:tcBorders>
              <w:top w:val="single" w:color="000000" w:sz="4" w:space="0"/>
              <w:left w:val="single" w:color="000000" w:sz="4" w:space="0"/>
              <w:bottom w:val="single" w:color="000000" w:sz="4" w:space="0"/>
              <w:right w:val="single" w:color="000000" w:sz="4" w:space="0"/>
            </w:tcBorders>
            <w:vAlign w:val="center"/>
          </w:tcPr>
          <w:p w14:paraId="5BA92F24">
            <w:pPr>
              <w:jc w:val="center"/>
              <w:rPr>
                <w:rFonts w:ascii="宋体" w:hAnsi="宋体" w:cs="宋体"/>
                <w:color w:val="000000"/>
                <w:kern w:val="0"/>
                <w:szCs w:val="21"/>
              </w:rPr>
            </w:pPr>
            <w:r>
              <w:rPr>
                <w:rFonts w:hint="eastAsia" w:ascii="宋体" w:hAnsi="宋体" w:cs="宋体"/>
                <w:color w:val="000000"/>
                <w:kern w:val="0"/>
                <w:szCs w:val="21"/>
              </w:rPr>
              <w:t>0.342</w:t>
            </w:r>
          </w:p>
        </w:tc>
        <w:tc>
          <w:tcPr>
            <w:tcW w:w="1381" w:type="dxa"/>
            <w:tcBorders>
              <w:top w:val="single" w:color="000000" w:sz="4" w:space="0"/>
              <w:left w:val="single" w:color="000000" w:sz="4" w:space="0"/>
              <w:bottom w:val="single" w:color="000000" w:sz="4" w:space="0"/>
              <w:right w:val="single" w:color="000000" w:sz="4" w:space="0"/>
            </w:tcBorders>
            <w:vAlign w:val="center"/>
          </w:tcPr>
          <w:p w14:paraId="349F0F34">
            <w:pPr>
              <w:jc w:val="center"/>
              <w:rPr>
                <w:rFonts w:ascii="宋体" w:hAnsi="宋体" w:cs="宋体"/>
                <w:color w:val="000000"/>
                <w:kern w:val="0"/>
                <w:szCs w:val="21"/>
              </w:rPr>
            </w:pPr>
            <w:r>
              <w:rPr>
                <w:rFonts w:hint="eastAsia" w:ascii="宋体" w:hAnsi="宋体" w:cs="宋体"/>
                <w:color w:val="000000"/>
                <w:kern w:val="0"/>
                <w:szCs w:val="21"/>
              </w:rPr>
              <w:t>0.000</w:t>
            </w:r>
          </w:p>
        </w:tc>
        <w:tc>
          <w:tcPr>
            <w:tcW w:w="1276" w:type="dxa"/>
            <w:tcBorders>
              <w:top w:val="single" w:color="000000" w:sz="4" w:space="0"/>
              <w:left w:val="single" w:color="000000" w:sz="4" w:space="0"/>
              <w:bottom w:val="single" w:color="000000" w:sz="4" w:space="0"/>
              <w:right w:val="single" w:color="000000" w:sz="4" w:space="0"/>
            </w:tcBorders>
            <w:vAlign w:val="center"/>
          </w:tcPr>
          <w:p w14:paraId="77B3ED05">
            <w:pPr>
              <w:jc w:val="center"/>
              <w:rPr>
                <w:rFonts w:ascii="宋体" w:hAnsi="宋体" w:cs="宋体"/>
                <w:color w:val="000000"/>
                <w:kern w:val="0"/>
                <w:szCs w:val="21"/>
              </w:rPr>
            </w:pPr>
            <w:r>
              <w:rPr>
                <w:rFonts w:hint="eastAsia" w:ascii="宋体" w:hAnsi="宋体" w:cs="宋体"/>
                <w:color w:val="000000"/>
                <w:kern w:val="0"/>
                <w:szCs w:val="21"/>
              </w:rPr>
              <w:t>-0.324</w:t>
            </w:r>
          </w:p>
        </w:tc>
        <w:tc>
          <w:tcPr>
            <w:tcW w:w="1134" w:type="dxa"/>
            <w:tcBorders>
              <w:top w:val="single" w:color="000000" w:sz="4" w:space="0"/>
              <w:left w:val="single" w:color="000000" w:sz="4" w:space="0"/>
              <w:bottom w:val="single" w:color="000000" w:sz="4" w:space="0"/>
              <w:right w:val="single" w:color="000000" w:sz="4" w:space="0"/>
            </w:tcBorders>
            <w:vAlign w:val="center"/>
          </w:tcPr>
          <w:p w14:paraId="207A6AA2">
            <w:pPr>
              <w:jc w:val="center"/>
              <w:rPr>
                <w:rFonts w:ascii="宋体" w:hAnsi="宋体" w:cs="宋体"/>
                <w:color w:val="000000"/>
                <w:kern w:val="0"/>
                <w:szCs w:val="21"/>
              </w:rPr>
            </w:pPr>
            <w:r>
              <w:rPr>
                <w:rFonts w:hint="eastAsia" w:ascii="宋体" w:hAnsi="宋体" w:cs="宋体"/>
                <w:color w:val="000000"/>
                <w:kern w:val="0"/>
                <w:szCs w:val="21"/>
              </w:rPr>
              <w:t>-0.648</w:t>
            </w:r>
          </w:p>
        </w:tc>
      </w:tr>
    </w:tbl>
    <w:p w14:paraId="1ECB20A9">
      <w:pPr>
        <w:ind w:firstLine="422"/>
        <w:jc w:val="center"/>
        <w:rPr>
          <w:b/>
          <w:szCs w:val="21"/>
        </w:rPr>
      </w:pPr>
    </w:p>
    <w:p w14:paraId="09018E94">
      <w:pPr>
        <w:jc w:val="center"/>
        <w:rPr>
          <w:rFonts w:ascii="宋体" w:hAnsi="宋体" w:cs="宋体"/>
          <w:b/>
          <w:color w:val="000000"/>
          <w:kern w:val="0"/>
          <w:szCs w:val="21"/>
        </w:rPr>
      </w:pPr>
      <w:r>
        <w:rPr>
          <w:rFonts w:ascii="宋体" w:hAnsi="宋体" w:cs="宋体"/>
          <w:color w:val="000000"/>
          <w:kern w:val="0"/>
          <w:szCs w:val="21"/>
        </w:rPr>
        <w:tab/>
      </w:r>
      <w:r>
        <w:rPr>
          <w:rFonts w:hint="eastAsia" w:ascii="宋体" w:hAnsi="宋体" w:cs="宋体"/>
          <w:b/>
          <w:color w:val="000000"/>
          <w:kern w:val="0"/>
          <w:szCs w:val="21"/>
        </w:rPr>
        <w:t>5-4 II级国有农用地宗地价区域修正系数表</w:t>
      </w:r>
    </w:p>
    <w:tbl>
      <w:tblPr>
        <w:tblStyle w:val="39"/>
        <w:tblW w:w="8502" w:type="dxa"/>
        <w:tblInd w:w="0" w:type="dxa"/>
        <w:tblLayout w:type="fixed"/>
        <w:tblCellMar>
          <w:top w:w="15" w:type="dxa"/>
          <w:left w:w="15" w:type="dxa"/>
          <w:bottom w:w="15" w:type="dxa"/>
          <w:right w:w="15" w:type="dxa"/>
        </w:tblCellMar>
      </w:tblPr>
      <w:tblGrid>
        <w:gridCol w:w="1922"/>
        <w:gridCol w:w="963"/>
        <w:gridCol w:w="962"/>
        <w:gridCol w:w="1096"/>
        <w:gridCol w:w="1152"/>
        <w:gridCol w:w="1271"/>
        <w:gridCol w:w="1136"/>
      </w:tblGrid>
      <w:tr w14:paraId="5E38917C">
        <w:tblPrEx>
          <w:tblCellMar>
            <w:top w:w="15" w:type="dxa"/>
            <w:left w:w="15" w:type="dxa"/>
            <w:bottom w:w="15" w:type="dxa"/>
            <w:right w:w="15" w:type="dxa"/>
          </w:tblCellMar>
        </w:tblPrEx>
        <w:trPr>
          <w:trHeight w:val="291" w:hRule="atLeast"/>
        </w:trPr>
        <w:tc>
          <w:tcPr>
            <w:tcW w:w="1922" w:type="dxa"/>
            <w:tcBorders>
              <w:top w:val="single" w:color="000000" w:sz="4" w:space="0"/>
              <w:left w:val="single" w:color="000000" w:sz="4" w:space="0"/>
              <w:bottom w:val="single" w:color="000000" w:sz="4" w:space="0"/>
              <w:right w:val="single" w:color="000000" w:sz="4" w:space="0"/>
            </w:tcBorders>
          </w:tcPr>
          <w:p w14:paraId="2BB246A4">
            <w:pPr>
              <w:jc w:val="center"/>
              <w:rPr>
                <w:rFonts w:ascii="宋体" w:hAnsi="宋体" w:cs="宋体"/>
                <w:color w:val="000000"/>
                <w:kern w:val="0"/>
                <w:szCs w:val="21"/>
              </w:rPr>
            </w:pPr>
            <w:r>
              <w:rPr>
                <w:rFonts w:hint="eastAsia" w:ascii="宋体" w:hAnsi="宋体" w:cs="宋体"/>
                <w:color w:val="000000"/>
                <w:kern w:val="0"/>
                <w:szCs w:val="21"/>
              </w:rPr>
              <w:t>定级因子</w:t>
            </w:r>
          </w:p>
        </w:tc>
        <w:tc>
          <w:tcPr>
            <w:tcW w:w="963" w:type="dxa"/>
            <w:tcBorders>
              <w:top w:val="single" w:color="000000" w:sz="4" w:space="0"/>
              <w:left w:val="single" w:color="000000" w:sz="4" w:space="0"/>
              <w:bottom w:val="single" w:color="000000" w:sz="4" w:space="0"/>
              <w:right w:val="single" w:color="000000" w:sz="4" w:space="0"/>
            </w:tcBorders>
          </w:tcPr>
          <w:p w14:paraId="74FE7709">
            <w:pPr>
              <w:jc w:val="center"/>
              <w:rPr>
                <w:rFonts w:ascii="宋体" w:hAnsi="宋体" w:cs="宋体"/>
                <w:color w:val="000000"/>
                <w:kern w:val="0"/>
                <w:szCs w:val="21"/>
              </w:rPr>
            </w:pPr>
            <w:r>
              <w:rPr>
                <w:rFonts w:hint="eastAsia" w:ascii="宋体" w:hAnsi="宋体" w:cs="宋体"/>
                <w:color w:val="000000"/>
                <w:kern w:val="0"/>
                <w:szCs w:val="21"/>
              </w:rPr>
              <w:t>权重</w:t>
            </w:r>
          </w:p>
        </w:tc>
        <w:tc>
          <w:tcPr>
            <w:tcW w:w="962" w:type="dxa"/>
            <w:tcBorders>
              <w:top w:val="single" w:color="000000" w:sz="4" w:space="0"/>
              <w:left w:val="single" w:color="000000" w:sz="4" w:space="0"/>
              <w:bottom w:val="single" w:color="000000" w:sz="4" w:space="0"/>
              <w:right w:val="single" w:color="000000" w:sz="4" w:space="0"/>
            </w:tcBorders>
            <w:vAlign w:val="center"/>
          </w:tcPr>
          <w:p w14:paraId="5799E04F">
            <w:pPr>
              <w:jc w:val="center"/>
              <w:rPr>
                <w:rFonts w:ascii="宋体" w:hAnsi="宋体" w:cs="宋体"/>
                <w:color w:val="000000"/>
                <w:kern w:val="0"/>
                <w:szCs w:val="21"/>
              </w:rPr>
            </w:pPr>
            <w:r>
              <w:rPr>
                <w:rFonts w:hint="eastAsia" w:ascii="宋体" w:hAnsi="宋体" w:cs="宋体"/>
                <w:color w:val="000000"/>
                <w:kern w:val="0"/>
                <w:szCs w:val="21"/>
              </w:rPr>
              <w:t>优</w:t>
            </w:r>
          </w:p>
        </w:tc>
        <w:tc>
          <w:tcPr>
            <w:tcW w:w="1096" w:type="dxa"/>
            <w:tcBorders>
              <w:top w:val="single" w:color="000000" w:sz="4" w:space="0"/>
              <w:left w:val="single" w:color="000000" w:sz="4" w:space="0"/>
              <w:bottom w:val="single" w:color="000000" w:sz="4" w:space="0"/>
              <w:right w:val="single" w:color="000000" w:sz="4" w:space="0"/>
            </w:tcBorders>
            <w:vAlign w:val="center"/>
          </w:tcPr>
          <w:p w14:paraId="588CC320">
            <w:pPr>
              <w:jc w:val="center"/>
              <w:rPr>
                <w:rFonts w:ascii="宋体" w:hAnsi="宋体" w:cs="宋体"/>
                <w:color w:val="000000"/>
                <w:kern w:val="0"/>
                <w:szCs w:val="21"/>
              </w:rPr>
            </w:pPr>
            <w:r>
              <w:rPr>
                <w:rFonts w:hint="eastAsia" w:ascii="宋体" w:hAnsi="宋体" w:cs="宋体"/>
                <w:color w:val="000000"/>
                <w:kern w:val="0"/>
                <w:szCs w:val="21"/>
              </w:rPr>
              <w:t>较优</w:t>
            </w:r>
          </w:p>
        </w:tc>
        <w:tc>
          <w:tcPr>
            <w:tcW w:w="1152" w:type="dxa"/>
            <w:tcBorders>
              <w:top w:val="single" w:color="000000" w:sz="4" w:space="0"/>
              <w:left w:val="single" w:color="000000" w:sz="4" w:space="0"/>
              <w:bottom w:val="single" w:color="000000" w:sz="4" w:space="0"/>
              <w:right w:val="single" w:color="000000" w:sz="4" w:space="0"/>
            </w:tcBorders>
            <w:vAlign w:val="center"/>
          </w:tcPr>
          <w:p w14:paraId="62AAA314">
            <w:pPr>
              <w:jc w:val="center"/>
              <w:rPr>
                <w:rFonts w:ascii="宋体" w:hAnsi="宋体" w:cs="宋体"/>
                <w:color w:val="000000"/>
                <w:kern w:val="0"/>
                <w:szCs w:val="21"/>
              </w:rPr>
            </w:pPr>
            <w:r>
              <w:rPr>
                <w:rFonts w:hint="eastAsia" w:ascii="宋体" w:hAnsi="宋体" w:cs="宋体"/>
                <w:color w:val="000000"/>
                <w:kern w:val="0"/>
                <w:szCs w:val="21"/>
              </w:rPr>
              <w:t>一般</w:t>
            </w:r>
          </w:p>
        </w:tc>
        <w:tc>
          <w:tcPr>
            <w:tcW w:w="1271" w:type="dxa"/>
            <w:tcBorders>
              <w:top w:val="single" w:color="000000" w:sz="4" w:space="0"/>
              <w:left w:val="single" w:color="000000" w:sz="4" w:space="0"/>
              <w:bottom w:val="single" w:color="000000" w:sz="4" w:space="0"/>
              <w:right w:val="single" w:color="000000" w:sz="4" w:space="0"/>
            </w:tcBorders>
            <w:vAlign w:val="center"/>
          </w:tcPr>
          <w:p w14:paraId="289C5A8C">
            <w:pPr>
              <w:jc w:val="center"/>
              <w:rPr>
                <w:rFonts w:ascii="宋体" w:hAnsi="宋体" w:cs="宋体"/>
                <w:color w:val="000000"/>
                <w:kern w:val="0"/>
                <w:szCs w:val="21"/>
              </w:rPr>
            </w:pPr>
            <w:r>
              <w:rPr>
                <w:rFonts w:hint="eastAsia" w:ascii="宋体" w:hAnsi="宋体" w:cs="宋体"/>
                <w:color w:val="000000"/>
                <w:kern w:val="0"/>
                <w:szCs w:val="21"/>
              </w:rPr>
              <w:t>较劣</w:t>
            </w:r>
          </w:p>
        </w:tc>
        <w:tc>
          <w:tcPr>
            <w:tcW w:w="1136" w:type="dxa"/>
            <w:tcBorders>
              <w:top w:val="single" w:color="000000" w:sz="4" w:space="0"/>
              <w:left w:val="single" w:color="000000" w:sz="4" w:space="0"/>
              <w:bottom w:val="single" w:color="000000" w:sz="4" w:space="0"/>
              <w:right w:val="single" w:color="000000" w:sz="4" w:space="0"/>
            </w:tcBorders>
            <w:vAlign w:val="center"/>
          </w:tcPr>
          <w:p w14:paraId="722C0220">
            <w:pPr>
              <w:jc w:val="center"/>
              <w:rPr>
                <w:rFonts w:ascii="宋体" w:hAnsi="宋体" w:cs="宋体"/>
                <w:color w:val="000000"/>
                <w:kern w:val="0"/>
                <w:szCs w:val="21"/>
              </w:rPr>
            </w:pPr>
            <w:r>
              <w:rPr>
                <w:rFonts w:hint="eastAsia" w:ascii="宋体" w:hAnsi="宋体" w:cs="宋体"/>
                <w:color w:val="000000"/>
                <w:kern w:val="0"/>
                <w:szCs w:val="21"/>
              </w:rPr>
              <w:t>劣</w:t>
            </w:r>
          </w:p>
        </w:tc>
      </w:tr>
      <w:tr w14:paraId="36BD4F44">
        <w:tblPrEx>
          <w:tblCellMar>
            <w:top w:w="15" w:type="dxa"/>
            <w:left w:w="15" w:type="dxa"/>
            <w:bottom w:w="15" w:type="dxa"/>
            <w:right w:w="15" w:type="dxa"/>
          </w:tblCellMar>
        </w:tblPrEx>
        <w:trPr>
          <w:trHeight w:val="291" w:hRule="atLeast"/>
        </w:trPr>
        <w:tc>
          <w:tcPr>
            <w:tcW w:w="1922" w:type="dxa"/>
            <w:tcBorders>
              <w:top w:val="single" w:color="000000" w:sz="4" w:space="0"/>
              <w:left w:val="single" w:color="000000" w:sz="4" w:space="0"/>
              <w:bottom w:val="single" w:color="000000" w:sz="4" w:space="0"/>
              <w:right w:val="single" w:color="000000" w:sz="4" w:space="0"/>
            </w:tcBorders>
          </w:tcPr>
          <w:p w14:paraId="5977C492">
            <w:pPr>
              <w:jc w:val="center"/>
              <w:rPr>
                <w:rFonts w:ascii="宋体" w:hAnsi="宋体" w:cs="宋体"/>
                <w:color w:val="000000"/>
                <w:kern w:val="0"/>
                <w:szCs w:val="21"/>
              </w:rPr>
            </w:pPr>
            <w:r>
              <w:rPr>
                <w:rFonts w:hint="eastAsia" w:ascii="宋体" w:hAnsi="宋体" w:cs="宋体"/>
                <w:color w:val="000000"/>
                <w:kern w:val="0"/>
                <w:szCs w:val="21"/>
              </w:rPr>
              <w:t>海拔高度</w:t>
            </w:r>
          </w:p>
        </w:tc>
        <w:tc>
          <w:tcPr>
            <w:tcW w:w="963" w:type="dxa"/>
            <w:tcBorders>
              <w:top w:val="single" w:color="000000" w:sz="4" w:space="0"/>
              <w:left w:val="single" w:color="000000" w:sz="4" w:space="0"/>
              <w:bottom w:val="single" w:color="000000" w:sz="4" w:space="0"/>
              <w:right w:val="single" w:color="000000" w:sz="4" w:space="0"/>
            </w:tcBorders>
            <w:vAlign w:val="center"/>
          </w:tcPr>
          <w:p w14:paraId="556E5625">
            <w:pPr>
              <w:jc w:val="center"/>
              <w:rPr>
                <w:rFonts w:ascii="宋体" w:hAnsi="宋体" w:cs="宋体"/>
                <w:color w:val="000000"/>
                <w:kern w:val="0"/>
                <w:szCs w:val="21"/>
              </w:rPr>
            </w:pPr>
            <w:r>
              <w:rPr>
                <w:rFonts w:hint="eastAsia" w:ascii="宋体" w:hAnsi="宋体" w:cs="宋体"/>
                <w:color w:val="000000"/>
                <w:kern w:val="0"/>
                <w:szCs w:val="21"/>
              </w:rPr>
              <w:t xml:space="preserve">0.050 </w:t>
            </w:r>
          </w:p>
        </w:tc>
        <w:tc>
          <w:tcPr>
            <w:tcW w:w="962" w:type="dxa"/>
            <w:tcBorders>
              <w:top w:val="single" w:color="000000" w:sz="4" w:space="0"/>
              <w:left w:val="single" w:color="000000" w:sz="4" w:space="0"/>
              <w:bottom w:val="single" w:color="000000" w:sz="4" w:space="0"/>
              <w:right w:val="single" w:color="000000" w:sz="4" w:space="0"/>
            </w:tcBorders>
            <w:vAlign w:val="center"/>
          </w:tcPr>
          <w:p w14:paraId="7562CCB0">
            <w:pPr>
              <w:jc w:val="center"/>
              <w:rPr>
                <w:rFonts w:ascii="宋体" w:hAnsi="宋体" w:cs="宋体"/>
                <w:color w:val="000000"/>
                <w:kern w:val="0"/>
                <w:szCs w:val="21"/>
              </w:rPr>
            </w:pPr>
            <w:r>
              <w:rPr>
                <w:rFonts w:hint="eastAsia" w:ascii="宋体" w:hAnsi="宋体" w:cs="宋体"/>
                <w:color w:val="000000"/>
                <w:kern w:val="0"/>
                <w:szCs w:val="21"/>
              </w:rPr>
              <w:t xml:space="preserve">0.565 </w:t>
            </w:r>
          </w:p>
        </w:tc>
        <w:tc>
          <w:tcPr>
            <w:tcW w:w="1096" w:type="dxa"/>
            <w:tcBorders>
              <w:top w:val="single" w:color="000000" w:sz="4" w:space="0"/>
              <w:left w:val="single" w:color="000000" w:sz="4" w:space="0"/>
              <w:bottom w:val="single" w:color="000000" w:sz="4" w:space="0"/>
              <w:right w:val="single" w:color="000000" w:sz="4" w:space="0"/>
            </w:tcBorders>
            <w:vAlign w:val="center"/>
          </w:tcPr>
          <w:p w14:paraId="2BEA800B">
            <w:pPr>
              <w:jc w:val="center"/>
              <w:rPr>
                <w:rFonts w:ascii="宋体" w:hAnsi="宋体" w:cs="宋体"/>
                <w:color w:val="000000"/>
                <w:kern w:val="0"/>
                <w:szCs w:val="21"/>
              </w:rPr>
            </w:pPr>
            <w:r>
              <w:rPr>
                <w:rFonts w:hint="eastAsia" w:ascii="宋体" w:hAnsi="宋体" w:cs="宋体"/>
                <w:color w:val="000000"/>
                <w:kern w:val="0"/>
                <w:szCs w:val="21"/>
              </w:rPr>
              <w:t xml:space="preserve">0.283 </w:t>
            </w:r>
          </w:p>
        </w:tc>
        <w:tc>
          <w:tcPr>
            <w:tcW w:w="1152" w:type="dxa"/>
            <w:tcBorders>
              <w:top w:val="single" w:color="000000" w:sz="4" w:space="0"/>
              <w:left w:val="single" w:color="000000" w:sz="4" w:space="0"/>
              <w:bottom w:val="single" w:color="000000" w:sz="4" w:space="0"/>
              <w:right w:val="single" w:color="000000" w:sz="4" w:space="0"/>
            </w:tcBorders>
            <w:vAlign w:val="center"/>
          </w:tcPr>
          <w:p w14:paraId="71E61F20">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7B947921">
            <w:pPr>
              <w:jc w:val="center"/>
              <w:rPr>
                <w:rFonts w:ascii="宋体" w:hAnsi="宋体" w:cs="宋体"/>
                <w:color w:val="000000"/>
                <w:kern w:val="0"/>
                <w:szCs w:val="21"/>
              </w:rPr>
            </w:pPr>
            <w:r>
              <w:rPr>
                <w:rFonts w:hint="eastAsia" w:ascii="宋体" w:hAnsi="宋体" w:cs="宋体"/>
                <w:color w:val="000000"/>
                <w:kern w:val="0"/>
                <w:szCs w:val="21"/>
              </w:rPr>
              <w:t xml:space="preserve">-0.263 </w:t>
            </w:r>
          </w:p>
        </w:tc>
        <w:tc>
          <w:tcPr>
            <w:tcW w:w="1136" w:type="dxa"/>
            <w:tcBorders>
              <w:top w:val="single" w:color="000000" w:sz="4" w:space="0"/>
              <w:left w:val="single" w:color="000000" w:sz="4" w:space="0"/>
              <w:bottom w:val="single" w:color="000000" w:sz="4" w:space="0"/>
              <w:right w:val="single" w:color="000000" w:sz="4" w:space="0"/>
            </w:tcBorders>
            <w:vAlign w:val="center"/>
          </w:tcPr>
          <w:p w14:paraId="2FEA3ACA">
            <w:pPr>
              <w:jc w:val="center"/>
              <w:rPr>
                <w:rFonts w:ascii="宋体" w:hAnsi="宋体" w:cs="宋体"/>
                <w:color w:val="000000"/>
                <w:kern w:val="0"/>
                <w:szCs w:val="21"/>
              </w:rPr>
            </w:pPr>
            <w:r>
              <w:rPr>
                <w:rFonts w:hint="eastAsia" w:ascii="宋体" w:hAnsi="宋体" w:cs="宋体"/>
                <w:color w:val="000000"/>
                <w:kern w:val="0"/>
                <w:szCs w:val="21"/>
              </w:rPr>
              <w:t xml:space="preserve">-0.525 </w:t>
            </w:r>
          </w:p>
        </w:tc>
      </w:tr>
      <w:tr w14:paraId="4FA955BE">
        <w:tblPrEx>
          <w:tblCellMar>
            <w:top w:w="15" w:type="dxa"/>
            <w:left w:w="15" w:type="dxa"/>
            <w:bottom w:w="15" w:type="dxa"/>
            <w:right w:w="15" w:type="dxa"/>
          </w:tblCellMar>
        </w:tblPrEx>
        <w:trPr>
          <w:trHeight w:val="354" w:hRule="atLeast"/>
        </w:trPr>
        <w:tc>
          <w:tcPr>
            <w:tcW w:w="1922" w:type="dxa"/>
            <w:tcBorders>
              <w:top w:val="single" w:color="000000" w:sz="4" w:space="0"/>
              <w:left w:val="single" w:color="000000" w:sz="4" w:space="0"/>
              <w:bottom w:val="single" w:color="000000" w:sz="4" w:space="0"/>
              <w:right w:val="single" w:color="000000" w:sz="4" w:space="0"/>
            </w:tcBorders>
          </w:tcPr>
          <w:p w14:paraId="1AE248C3">
            <w:pPr>
              <w:jc w:val="center"/>
              <w:rPr>
                <w:rFonts w:ascii="宋体" w:hAnsi="宋体" w:cs="宋体"/>
                <w:color w:val="000000"/>
                <w:kern w:val="0"/>
                <w:szCs w:val="21"/>
              </w:rPr>
            </w:pPr>
            <w:r>
              <w:rPr>
                <w:rFonts w:hint="eastAsia" w:ascii="宋体" w:hAnsi="宋体" w:cs="宋体"/>
                <w:color w:val="000000"/>
                <w:kern w:val="0"/>
                <w:szCs w:val="21"/>
              </w:rPr>
              <w:t>土壤有机质含量</w:t>
            </w:r>
          </w:p>
        </w:tc>
        <w:tc>
          <w:tcPr>
            <w:tcW w:w="963" w:type="dxa"/>
            <w:tcBorders>
              <w:top w:val="single" w:color="000000" w:sz="4" w:space="0"/>
              <w:left w:val="single" w:color="000000" w:sz="4" w:space="0"/>
              <w:bottom w:val="single" w:color="000000" w:sz="4" w:space="0"/>
              <w:right w:val="single" w:color="000000" w:sz="4" w:space="0"/>
            </w:tcBorders>
            <w:vAlign w:val="center"/>
          </w:tcPr>
          <w:p w14:paraId="3220E721">
            <w:pPr>
              <w:jc w:val="center"/>
              <w:rPr>
                <w:rFonts w:ascii="宋体" w:hAnsi="宋体" w:cs="宋体"/>
                <w:color w:val="000000"/>
                <w:kern w:val="0"/>
                <w:szCs w:val="21"/>
              </w:rPr>
            </w:pPr>
            <w:r>
              <w:rPr>
                <w:rFonts w:hint="eastAsia" w:ascii="宋体" w:hAnsi="宋体" w:cs="宋体"/>
                <w:color w:val="000000"/>
                <w:kern w:val="0"/>
                <w:szCs w:val="21"/>
              </w:rPr>
              <w:t xml:space="preserve">0.154 </w:t>
            </w:r>
          </w:p>
        </w:tc>
        <w:tc>
          <w:tcPr>
            <w:tcW w:w="962" w:type="dxa"/>
            <w:tcBorders>
              <w:top w:val="single" w:color="000000" w:sz="4" w:space="0"/>
              <w:left w:val="single" w:color="000000" w:sz="4" w:space="0"/>
              <w:bottom w:val="single" w:color="000000" w:sz="4" w:space="0"/>
              <w:right w:val="single" w:color="000000" w:sz="4" w:space="0"/>
            </w:tcBorders>
            <w:vAlign w:val="center"/>
          </w:tcPr>
          <w:p w14:paraId="73E3F09D">
            <w:pPr>
              <w:jc w:val="center"/>
              <w:rPr>
                <w:rFonts w:ascii="宋体" w:hAnsi="宋体" w:cs="宋体"/>
                <w:color w:val="000000"/>
                <w:kern w:val="0"/>
                <w:szCs w:val="21"/>
              </w:rPr>
            </w:pPr>
            <w:r>
              <w:rPr>
                <w:rFonts w:hint="eastAsia" w:ascii="宋体" w:hAnsi="宋体" w:cs="宋体"/>
                <w:color w:val="000000"/>
                <w:kern w:val="0"/>
                <w:szCs w:val="21"/>
              </w:rPr>
              <w:t xml:space="preserve">1.740 </w:t>
            </w:r>
          </w:p>
        </w:tc>
        <w:tc>
          <w:tcPr>
            <w:tcW w:w="1096" w:type="dxa"/>
            <w:tcBorders>
              <w:top w:val="single" w:color="000000" w:sz="4" w:space="0"/>
              <w:left w:val="single" w:color="000000" w:sz="4" w:space="0"/>
              <w:bottom w:val="single" w:color="000000" w:sz="4" w:space="0"/>
              <w:right w:val="single" w:color="000000" w:sz="4" w:space="0"/>
            </w:tcBorders>
            <w:vAlign w:val="center"/>
          </w:tcPr>
          <w:p w14:paraId="147DBBB8">
            <w:pPr>
              <w:jc w:val="center"/>
              <w:rPr>
                <w:rFonts w:ascii="宋体" w:hAnsi="宋体" w:cs="宋体"/>
                <w:color w:val="000000"/>
                <w:kern w:val="0"/>
                <w:szCs w:val="21"/>
              </w:rPr>
            </w:pPr>
            <w:r>
              <w:rPr>
                <w:rFonts w:hint="eastAsia" w:ascii="宋体" w:hAnsi="宋体" w:cs="宋体"/>
                <w:color w:val="000000"/>
                <w:kern w:val="0"/>
                <w:szCs w:val="21"/>
              </w:rPr>
              <w:t xml:space="preserve">0.870 </w:t>
            </w:r>
          </w:p>
        </w:tc>
        <w:tc>
          <w:tcPr>
            <w:tcW w:w="1152" w:type="dxa"/>
            <w:tcBorders>
              <w:top w:val="single" w:color="000000" w:sz="4" w:space="0"/>
              <w:left w:val="single" w:color="000000" w:sz="4" w:space="0"/>
              <w:bottom w:val="single" w:color="000000" w:sz="4" w:space="0"/>
              <w:right w:val="single" w:color="000000" w:sz="4" w:space="0"/>
            </w:tcBorders>
            <w:vAlign w:val="center"/>
          </w:tcPr>
          <w:p w14:paraId="43D6736A">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2FA8BE75">
            <w:pPr>
              <w:jc w:val="center"/>
              <w:rPr>
                <w:rFonts w:ascii="宋体" w:hAnsi="宋体" w:cs="宋体"/>
                <w:color w:val="000000"/>
                <w:kern w:val="0"/>
                <w:szCs w:val="21"/>
              </w:rPr>
            </w:pPr>
            <w:r>
              <w:rPr>
                <w:rFonts w:hint="eastAsia" w:ascii="宋体" w:hAnsi="宋体" w:cs="宋体"/>
                <w:color w:val="000000"/>
                <w:kern w:val="0"/>
                <w:szCs w:val="21"/>
              </w:rPr>
              <w:t xml:space="preserve">-0.809 </w:t>
            </w:r>
          </w:p>
        </w:tc>
        <w:tc>
          <w:tcPr>
            <w:tcW w:w="1136" w:type="dxa"/>
            <w:tcBorders>
              <w:top w:val="single" w:color="000000" w:sz="4" w:space="0"/>
              <w:left w:val="single" w:color="000000" w:sz="4" w:space="0"/>
              <w:bottom w:val="single" w:color="000000" w:sz="4" w:space="0"/>
              <w:right w:val="single" w:color="000000" w:sz="4" w:space="0"/>
            </w:tcBorders>
            <w:vAlign w:val="center"/>
          </w:tcPr>
          <w:p w14:paraId="3CC65649">
            <w:pPr>
              <w:jc w:val="center"/>
              <w:rPr>
                <w:rFonts w:ascii="宋体" w:hAnsi="宋体" w:cs="宋体"/>
                <w:color w:val="000000"/>
                <w:kern w:val="0"/>
                <w:szCs w:val="21"/>
              </w:rPr>
            </w:pPr>
            <w:r>
              <w:rPr>
                <w:rFonts w:hint="eastAsia" w:ascii="宋体" w:hAnsi="宋体" w:cs="宋体"/>
                <w:color w:val="000000"/>
                <w:kern w:val="0"/>
                <w:szCs w:val="21"/>
              </w:rPr>
              <w:t xml:space="preserve">-1.617 </w:t>
            </w:r>
          </w:p>
        </w:tc>
      </w:tr>
      <w:tr w14:paraId="442CD312">
        <w:tblPrEx>
          <w:tblCellMar>
            <w:top w:w="15" w:type="dxa"/>
            <w:left w:w="15" w:type="dxa"/>
            <w:bottom w:w="15" w:type="dxa"/>
            <w:right w:w="15" w:type="dxa"/>
          </w:tblCellMar>
        </w:tblPrEx>
        <w:trPr>
          <w:trHeight w:val="389" w:hRule="atLeast"/>
        </w:trPr>
        <w:tc>
          <w:tcPr>
            <w:tcW w:w="1922" w:type="dxa"/>
            <w:tcBorders>
              <w:top w:val="single" w:color="000000" w:sz="4" w:space="0"/>
              <w:left w:val="single" w:color="000000" w:sz="4" w:space="0"/>
              <w:bottom w:val="single" w:color="000000" w:sz="4" w:space="0"/>
              <w:right w:val="single" w:color="000000" w:sz="4" w:space="0"/>
            </w:tcBorders>
          </w:tcPr>
          <w:p w14:paraId="6D071FD5">
            <w:pPr>
              <w:jc w:val="center"/>
              <w:rPr>
                <w:rFonts w:ascii="宋体" w:hAnsi="宋体" w:cs="宋体"/>
                <w:color w:val="000000"/>
                <w:kern w:val="0"/>
                <w:szCs w:val="21"/>
              </w:rPr>
            </w:pPr>
            <w:r>
              <w:rPr>
                <w:rFonts w:hint="eastAsia" w:ascii="宋体" w:hAnsi="宋体" w:cs="宋体"/>
                <w:color w:val="000000"/>
                <w:kern w:val="0"/>
                <w:szCs w:val="21"/>
              </w:rPr>
              <w:t>土壤剖面构型</w:t>
            </w:r>
          </w:p>
        </w:tc>
        <w:tc>
          <w:tcPr>
            <w:tcW w:w="963" w:type="dxa"/>
            <w:tcBorders>
              <w:top w:val="single" w:color="000000" w:sz="4" w:space="0"/>
              <w:left w:val="single" w:color="000000" w:sz="4" w:space="0"/>
              <w:bottom w:val="single" w:color="000000" w:sz="4" w:space="0"/>
              <w:right w:val="single" w:color="000000" w:sz="4" w:space="0"/>
            </w:tcBorders>
            <w:vAlign w:val="center"/>
          </w:tcPr>
          <w:p w14:paraId="6394D820">
            <w:pPr>
              <w:jc w:val="center"/>
              <w:rPr>
                <w:rFonts w:ascii="宋体" w:hAnsi="宋体" w:cs="宋体"/>
                <w:color w:val="000000"/>
                <w:kern w:val="0"/>
                <w:szCs w:val="21"/>
              </w:rPr>
            </w:pPr>
            <w:r>
              <w:rPr>
                <w:rFonts w:hint="eastAsia" w:ascii="宋体" w:hAnsi="宋体" w:cs="宋体"/>
                <w:color w:val="000000"/>
                <w:kern w:val="0"/>
                <w:szCs w:val="21"/>
              </w:rPr>
              <w:t xml:space="preserve">0.066 </w:t>
            </w:r>
          </w:p>
        </w:tc>
        <w:tc>
          <w:tcPr>
            <w:tcW w:w="962" w:type="dxa"/>
            <w:tcBorders>
              <w:top w:val="single" w:color="000000" w:sz="4" w:space="0"/>
              <w:left w:val="single" w:color="000000" w:sz="4" w:space="0"/>
              <w:bottom w:val="single" w:color="000000" w:sz="4" w:space="0"/>
              <w:right w:val="single" w:color="000000" w:sz="4" w:space="0"/>
            </w:tcBorders>
            <w:vAlign w:val="center"/>
          </w:tcPr>
          <w:p w14:paraId="2AB17D12">
            <w:pPr>
              <w:jc w:val="center"/>
              <w:rPr>
                <w:rFonts w:ascii="宋体" w:hAnsi="宋体" w:cs="宋体"/>
                <w:color w:val="000000"/>
                <w:kern w:val="0"/>
                <w:szCs w:val="21"/>
              </w:rPr>
            </w:pPr>
            <w:r>
              <w:rPr>
                <w:rFonts w:hint="eastAsia" w:ascii="宋体" w:hAnsi="宋体" w:cs="宋体"/>
                <w:color w:val="000000"/>
                <w:kern w:val="0"/>
                <w:szCs w:val="21"/>
              </w:rPr>
              <w:t xml:space="preserve">0.746 </w:t>
            </w:r>
          </w:p>
        </w:tc>
        <w:tc>
          <w:tcPr>
            <w:tcW w:w="1096" w:type="dxa"/>
            <w:tcBorders>
              <w:top w:val="single" w:color="000000" w:sz="4" w:space="0"/>
              <w:left w:val="single" w:color="000000" w:sz="4" w:space="0"/>
              <w:bottom w:val="single" w:color="000000" w:sz="4" w:space="0"/>
              <w:right w:val="single" w:color="000000" w:sz="4" w:space="0"/>
            </w:tcBorders>
            <w:vAlign w:val="center"/>
          </w:tcPr>
          <w:p w14:paraId="33C91A02">
            <w:pPr>
              <w:jc w:val="center"/>
              <w:rPr>
                <w:rFonts w:ascii="宋体" w:hAnsi="宋体" w:cs="宋体"/>
                <w:color w:val="000000"/>
                <w:kern w:val="0"/>
                <w:szCs w:val="21"/>
              </w:rPr>
            </w:pPr>
            <w:r>
              <w:rPr>
                <w:rFonts w:hint="eastAsia" w:ascii="宋体" w:hAnsi="宋体" w:cs="宋体"/>
                <w:color w:val="000000"/>
                <w:kern w:val="0"/>
                <w:szCs w:val="21"/>
              </w:rPr>
              <w:t xml:space="preserve">0.373 </w:t>
            </w:r>
          </w:p>
        </w:tc>
        <w:tc>
          <w:tcPr>
            <w:tcW w:w="1152" w:type="dxa"/>
            <w:tcBorders>
              <w:top w:val="single" w:color="000000" w:sz="4" w:space="0"/>
              <w:left w:val="single" w:color="000000" w:sz="4" w:space="0"/>
              <w:bottom w:val="single" w:color="000000" w:sz="4" w:space="0"/>
              <w:right w:val="single" w:color="000000" w:sz="4" w:space="0"/>
            </w:tcBorders>
            <w:vAlign w:val="center"/>
          </w:tcPr>
          <w:p w14:paraId="3CD88362">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0DEB224D">
            <w:pPr>
              <w:jc w:val="center"/>
              <w:rPr>
                <w:rFonts w:ascii="宋体" w:hAnsi="宋体" w:cs="宋体"/>
                <w:color w:val="000000"/>
                <w:kern w:val="0"/>
                <w:szCs w:val="21"/>
              </w:rPr>
            </w:pPr>
            <w:r>
              <w:rPr>
                <w:rFonts w:hint="eastAsia" w:ascii="宋体" w:hAnsi="宋体" w:cs="宋体"/>
                <w:color w:val="000000"/>
                <w:kern w:val="0"/>
                <w:szCs w:val="21"/>
              </w:rPr>
              <w:t xml:space="preserve">-0.347 </w:t>
            </w:r>
          </w:p>
        </w:tc>
        <w:tc>
          <w:tcPr>
            <w:tcW w:w="1136" w:type="dxa"/>
            <w:tcBorders>
              <w:top w:val="single" w:color="000000" w:sz="4" w:space="0"/>
              <w:left w:val="single" w:color="000000" w:sz="4" w:space="0"/>
              <w:bottom w:val="single" w:color="000000" w:sz="4" w:space="0"/>
              <w:right w:val="single" w:color="000000" w:sz="4" w:space="0"/>
            </w:tcBorders>
            <w:vAlign w:val="center"/>
          </w:tcPr>
          <w:p w14:paraId="34BD9E7E">
            <w:pPr>
              <w:jc w:val="center"/>
              <w:rPr>
                <w:rFonts w:ascii="宋体" w:hAnsi="宋体" w:cs="宋体"/>
                <w:color w:val="000000"/>
                <w:kern w:val="0"/>
                <w:szCs w:val="21"/>
              </w:rPr>
            </w:pPr>
            <w:r>
              <w:rPr>
                <w:rFonts w:hint="eastAsia" w:ascii="宋体" w:hAnsi="宋体" w:cs="宋体"/>
                <w:color w:val="000000"/>
                <w:kern w:val="0"/>
                <w:szCs w:val="21"/>
              </w:rPr>
              <w:t xml:space="preserve">-0.693 </w:t>
            </w:r>
          </w:p>
        </w:tc>
      </w:tr>
      <w:tr w14:paraId="6FB86314">
        <w:tblPrEx>
          <w:tblCellMar>
            <w:top w:w="15" w:type="dxa"/>
            <w:left w:w="15" w:type="dxa"/>
            <w:bottom w:w="15" w:type="dxa"/>
            <w:right w:w="15" w:type="dxa"/>
          </w:tblCellMar>
        </w:tblPrEx>
        <w:trPr>
          <w:trHeight w:val="395" w:hRule="atLeast"/>
        </w:trPr>
        <w:tc>
          <w:tcPr>
            <w:tcW w:w="1922" w:type="dxa"/>
            <w:tcBorders>
              <w:top w:val="single" w:color="000000" w:sz="4" w:space="0"/>
              <w:left w:val="single" w:color="000000" w:sz="4" w:space="0"/>
              <w:bottom w:val="single" w:color="000000" w:sz="4" w:space="0"/>
              <w:right w:val="single" w:color="000000" w:sz="4" w:space="0"/>
            </w:tcBorders>
          </w:tcPr>
          <w:p w14:paraId="52D2AE4E">
            <w:pPr>
              <w:jc w:val="center"/>
              <w:rPr>
                <w:rFonts w:ascii="宋体" w:hAnsi="宋体" w:cs="宋体"/>
                <w:color w:val="000000"/>
                <w:kern w:val="0"/>
                <w:szCs w:val="21"/>
              </w:rPr>
            </w:pPr>
            <w:r>
              <w:rPr>
                <w:rFonts w:hint="eastAsia" w:ascii="宋体" w:hAnsi="宋体" w:cs="宋体"/>
                <w:color w:val="000000"/>
                <w:kern w:val="0"/>
                <w:szCs w:val="21"/>
              </w:rPr>
              <w:t>表层土壤质地</w:t>
            </w:r>
          </w:p>
        </w:tc>
        <w:tc>
          <w:tcPr>
            <w:tcW w:w="963" w:type="dxa"/>
            <w:tcBorders>
              <w:top w:val="single" w:color="000000" w:sz="4" w:space="0"/>
              <w:left w:val="single" w:color="000000" w:sz="4" w:space="0"/>
              <w:bottom w:val="single" w:color="000000" w:sz="4" w:space="0"/>
              <w:right w:val="single" w:color="000000" w:sz="4" w:space="0"/>
            </w:tcBorders>
            <w:vAlign w:val="center"/>
          </w:tcPr>
          <w:p w14:paraId="76A1A8E0">
            <w:pPr>
              <w:jc w:val="center"/>
              <w:rPr>
                <w:rFonts w:ascii="宋体" w:hAnsi="宋体" w:cs="宋体"/>
                <w:color w:val="000000"/>
                <w:kern w:val="0"/>
                <w:szCs w:val="21"/>
              </w:rPr>
            </w:pPr>
            <w:r>
              <w:rPr>
                <w:rFonts w:hint="eastAsia" w:ascii="宋体" w:hAnsi="宋体" w:cs="宋体"/>
                <w:color w:val="000000"/>
                <w:kern w:val="0"/>
                <w:szCs w:val="21"/>
              </w:rPr>
              <w:t xml:space="preserve">0.132 </w:t>
            </w:r>
          </w:p>
        </w:tc>
        <w:tc>
          <w:tcPr>
            <w:tcW w:w="962" w:type="dxa"/>
            <w:tcBorders>
              <w:top w:val="single" w:color="000000" w:sz="4" w:space="0"/>
              <w:left w:val="single" w:color="000000" w:sz="4" w:space="0"/>
              <w:bottom w:val="single" w:color="000000" w:sz="4" w:space="0"/>
              <w:right w:val="single" w:color="000000" w:sz="4" w:space="0"/>
            </w:tcBorders>
            <w:vAlign w:val="center"/>
          </w:tcPr>
          <w:p w14:paraId="2A322E73">
            <w:pPr>
              <w:jc w:val="center"/>
              <w:rPr>
                <w:rFonts w:ascii="宋体" w:hAnsi="宋体" w:cs="宋体"/>
                <w:color w:val="000000"/>
                <w:kern w:val="0"/>
                <w:szCs w:val="21"/>
              </w:rPr>
            </w:pPr>
            <w:r>
              <w:rPr>
                <w:rFonts w:hint="eastAsia" w:ascii="宋体" w:hAnsi="宋体" w:cs="宋体"/>
                <w:color w:val="000000"/>
                <w:kern w:val="0"/>
                <w:szCs w:val="21"/>
              </w:rPr>
              <w:t xml:space="preserve">1.492 </w:t>
            </w:r>
          </w:p>
        </w:tc>
        <w:tc>
          <w:tcPr>
            <w:tcW w:w="1096" w:type="dxa"/>
            <w:tcBorders>
              <w:top w:val="single" w:color="000000" w:sz="4" w:space="0"/>
              <w:left w:val="single" w:color="000000" w:sz="4" w:space="0"/>
              <w:bottom w:val="single" w:color="000000" w:sz="4" w:space="0"/>
              <w:right w:val="single" w:color="000000" w:sz="4" w:space="0"/>
            </w:tcBorders>
            <w:vAlign w:val="center"/>
          </w:tcPr>
          <w:p w14:paraId="5AFB8F62">
            <w:pPr>
              <w:jc w:val="center"/>
              <w:rPr>
                <w:rFonts w:ascii="宋体" w:hAnsi="宋体" w:cs="宋体"/>
                <w:color w:val="000000"/>
                <w:kern w:val="0"/>
                <w:szCs w:val="21"/>
              </w:rPr>
            </w:pPr>
            <w:r>
              <w:rPr>
                <w:rFonts w:hint="eastAsia" w:ascii="宋体" w:hAnsi="宋体" w:cs="宋体"/>
                <w:color w:val="000000"/>
                <w:kern w:val="0"/>
                <w:szCs w:val="21"/>
              </w:rPr>
              <w:t xml:space="preserve">0.746 </w:t>
            </w:r>
          </w:p>
        </w:tc>
        <w:tc>
          <w:tcPr>
            <w:tcW w:w="1152" w:type="dxa"/>
            <w:tcBorders>
              <w:top w:val="single" w:color="000000" w:sz="4" w:space="0"/>
              <w:left w:val="single" w:color="000000" w:sz="4" w:space="0"/>
              <w:bottom w:val="single" w:color="000000" w:sz="4" w:space="0"/>
              <w:right w:val="single" w:color="000000" w:sz="4" w:space="0"/>
            </w:tcBorders>
            <w:vAlign w:val="center"/>
          </w:tcPr>
          <w:p w14:paraId="53B090FF">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0344B85B">
            <w:pPr>
              <w:jc w:val="center"/>
              <w:rPr>
                <w:rFonts w:ascii="宋体" w:hAnsi="宋体" w:cs="宋体"/>
                <w:color w:val="000000"/>
                <w:kern w:val="0"/>
                <w:szCs w:val="21"/>
              </w:rPr>
            </w:pPr>
            <w:r>
              <w:rPr>
                <w:rFonts w:hint="eastAsia" w:ascii="宋体" w:hAnsi="宋体" w:cs="宋体"/>
                <w:color w:val="000000"/>
                <w:kern w:val="0"/>
                <w:szCs w:val="21"/>
              </w:rPr>
              <w:t xml:space="preserve">-0.693 </w:t>
            </w:r>
          </w:p>
        </w:tc>
        <w:tc>
          <w:tcPr>
            <w:tcW w:w="1136" w:type="dxa"/>
            <w:tcBorders>
              <w:top w:val="single" w:color="000000" w:sz="4" w:space="0"/>
              <w:left w:val="single" w:color="000000" w:sz="4" w:space="0"/>
              <w:bottom w:val="single" w:color="000000" w:sz="4" w:space="0"/>
              <w:right w:val="single" w:color="000000" w:sz="4" w:space="0"/>
            </w:tcBorders>
            <w:vAlign w:val="center"/>
          </w:tcPr>
          <w:p w14:paraId="4B48DFEA">
            <w:pPr>
              <w:jc w:val="center"/>
              <w:rPr>
                <w:rFonts w:ascii="宋体" w:hAnsi="宋体" w:cs="宋体"/>
                <w:color w:val="000000"/>
                <w:kern w:val="0"/>
                <w:szCs w:val="21"/>
              </w:rPr>
            </w:pPr>
            <w:r>
              <w:rPr>
                <w:rFonts w:hint="eastAsia" w:ascii="宋体" w:hAnsi="宋体" w:cs="宋体"/>
                <w:color w:val="000000"/>
                <w:kern w:val="0"/>
                <w:szCs w:val="21"/>
              </w:rPr>
              <w:t xml:space="preserve">-1.386 </w:t>
            </w:r>
          </w:p>
        </w:tc>
      </w:tr>
      <w:tr w14:paraId="2FA9A8E4">
        <w:tblPrEx>
          <w:tblCellMar>
            <w:top w:w="15" w:type="dxa"/>
            <w:left w:w="15" w:type="dxa"/>
            <w:bottom w:w="15" w:type="dxa"/>
            <w:right w:w="15" w:type="dxa"/>
          </w:tblCellMar>
        </w:tblPrEx>
        <w:trPr>
          <w:trHeight w:val="291" w:hRule="atLeast"/>
        </w:trPr>
        <w:tc>
          <w:tcPr>
            <w:tcW w:w="1922" w:type="dxa"/>
            <w:tcBorders>
              <w:top w:val="single" w:color="000000" w:sz="4" w:space="0"/>
              <w:left w:val="single" w:color="000000" w:sz="4" w:space="0"/>
              <w:bottom w:val="single" w:color="000000" w:sz="4" w:space="0"/>
              <w:right w:val="single" w:color="000000" w:sz="4" w:space="0"/>
            </w:tcBorders>
          </w:tcPr>
          <w:p w14:paraId="74CF6B6E">
            <w:pPr>
              <w:jc w:val="center"/>
              <w:rPr>
                <w:rFonts w:ascii="宋体" w:hAnsi="宋体" w:cs="宋体"/>
                <w:color w:val="000000"/>
                <w:kern w:val="0"/>
                <w:szCs w:val="21"/>
              </w:rPr>
            </w:pPr>
            <w:r>
              <w:rPr>
                <w:rFonts w:hint="eastAsia" w:ascii="宋体" w:hAnsi="宋体" w:cs="宋体"/>
                <w:color w:val="000000"/>
                <w:kern w:val="0"/>
                <w:szCs w:val="21"/>
              </w:rPr>
              <w:t>土壤PH值</w:t>
            </w:r>
          </w:p>
        </w:tc>
        <w:tc>
          <w:tcPr>
            <w:tcW w:w="963" w:type="dxa"/>
            <w:tcBorders>
              <w:top w:val="single" w:color="000000" w:sz="4" w:space="0"/>
              <w:left w:val="single" w:color="000000" w:sz="4" w:space="0"/>
              <w:bottom w:val="single" w:color="000000" w:sz="4" w:space="0"/>
              <w:right w:val="single" w:color="000000" w:sz="4" w:space="0"/>
            </w:tcBorders>
            <w:vAlign w:val="center"/>
          </w:tcPr>
          <w:p w14:paraId="65985BC9">
            <w:pPr>
              <w:jc w:val="center"/>
              <w:rPr>
                <w:rFonts w:ascii="宋体" w:hAnsi="宋体" w:cs="宋体"/>
                <w:color w:val="000000"/>
                <w:kern w:val="0"/>
                <w:szCs w:val="21"/>
              </w:rPr>
            </w:pPr>
            <w:r>
              <w:rPr>
                <w:rFonts w:hint="eastAsia" w:ascii="宋体" w:hAnsi="宋体" w:cs="宋体"/>
                <w:color w:val="000000"/>
                <w:kern w:val="0"/>
                <w:szCs w:val="21"/>
              </w:rPr>
              <w:t xml:space="preserve">0.039 </w:t>
            </w:r>
          </w:p>
        </w:tc>
        <w:tc>
          <w:tcPr>
            <w:tcW w:w="962" w:type="dxa"/>
            <w:tcBorders>
              <w:top w:val="single" w:color="000000" w:sz="4" w:space="0"/>
              <w:left w:val="single" w:color="000000" w:sz="4" w:space="0"/>
              <w:bottom w:val="single" w:color="000000" w:sz="4" w:space="0"/>
              <w:right w:val="single" w:color="000000" w:sz="4" w:space="0"/>
            </w:tcBorders>
            <w:vAlign w:val="center"/>
          </w:tcPr>
          <w:p w14:paraId="7B3CE4F2">
            <w:pPr>
              <w:jc w:val="center"/>
              <w:rPr>
                <w:rFonts w:ascii="宋体" w:hAnsi="宋体" w:cs="宋体"/>
                <w:color w:val="000000"/>
                <w:kern w:val="0"/>
                <w:szCs w:val="21"/>
              </w:rPr>
            </w:pPr>
            <w:r>
              <w:rPr>
                <w:rFonts w:hint="eastAsia" w:ascii="宋体" w:hAnsi="宋体" w:cs="宋体"/>
                <w:color w:val="000000"/>
                <w:kern w:val="0"/>
                <w:szCs w:val="21"/>
              </w:rPr>
              <w:t xml:space="preserve">0.435 </w:t>
            </w:r>
          </w:p>
        </w:tc>
        <w:tc>
          <w:tcPr>
            <w:tcW w:w="1096" w:type="dxa"/>
            <w:tcBorders>
              <w:top w:val="single" w:color="000000" w:sz="4" w:space="0"/>
              <w:left w:val="single" w:color="000000" w:sz="4" w:space="0"/>
              <w:bottom w:val="single" w:color="000000" w:sz="4" w:space="0"/>
              <w:right w:val="single" w:color="000000" w:sz="4" w:space="0"/>
            </w:tcBorders>
            <w:vAlign w:val="center"/>
          </w:tcPr>
          <w:p w14:paraId="7C485F2C">
            <w:pPr>
              <w:jc w:val="center"/>
              <w:rPr>
                <w:rFonts w:ascii="宋体" w:hAnsi="宋体" w:cs="宋体"/>
                <w:color w:val="000000"/>
                <w:kern w:val="0"/>
                <w:szCs w:val="21"/>
              </w:rPr>
            </w:pPr>
            <w:r>
              <w:rPr>
                <w:rFonts w:hint="eastAsia" w:ascii="宋体" w:hAnsi="宋体" w:cs="宋体"/>
                <w:color w:val="000000"/>
                <w:kern w:val="0"/>
                <w:szCs w:val="21"/>
              </w:rPr>
              <w:t xml:space="preserve">0.218 </w:t>
            </w:r>
          </w:p>
        </w:tc>
        <w:tc>
          <w:tcPr>
            <w:tcW w:w="1152" w:type="dxa"/>
            <w:tcBorders>
              <w:top w:val="single" w:color="000000" w:sz="4" w:space="0"/>
              <w:left w:val="single" w:color="000000" w:sz="4" w:space="0"/>
              <w:bottom w:val="single" w:color="000000" w:sz="4" w:space="0"/>
              <w:right w:val="single" w:color="000000" w:sz="4" w:space="0"/>
            </w:tcBorders>
            <w:vAlign w:val="center"/>
          </w:tcPr>
          <w:p w14:paraId="56CC8CEF">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20673201">
            <w:pPr>
              <w:jc w:val="center"/>
              <w:rPr>
                <w:rFonts w:ascii="宋体" w:hAnsi="宋体" w:cs="宋体"/>
                <w:color w:val="000000"/>
                <w:kern w:val="0"/>
                <w:szCs w:val="21"/>
              </w:rPr>
            </w:pPr>
            <w:r>
              <w:rPr>
                <w:rFonts w:hint="eastAsia" w:ascii="宋体" w:hAnsi="宋体" w:cs="宋体"/>
                <w:color w:val="000000"/>
                <w:kern w:val="0"/>
                <w:szCs w:val="21"/>
              </w:rPr>
              <w:t xml:space="preserve">-0.202 </w:t>
            </w:r>
          </w:p>
        </w:tc>
        <w:tc>
          <w:tcPr>
            <w:tcW w:w="1136" w:type="dxa"/>
            <w:tcBorders>
              <w:top w:val="single" w:color="000000" w:sz="4" w:space="0"/>
              <w:left w:val="single" w:color="000000" w:sz="4" w:space="0"/>
              <w:bottom w:val="single" w:color="000000" w:sz="4" w:space="0"/>
              <w:right w:val="single" w:color="000000" w:sz="4" w:space="0"/>
            </w:tcBorders>
            <w:vAlign w:val="center"/>
          </w:tcPr>
          <w:p w14:paraId="686FF1A6">
            <w:pPr>
              <w:jc w:val="center"/>
              <w:rPr>
                <w:rFonts w:ascii="宋体" w:hAnsi="宋体" w:cs="宋体"/>
                <w:color w:val="000000"/>
                <w:kern w:val="0"/>
                <w:szCs w:val="21"/>
              </w:rPr>
            </w:pPr>
            <w:r>
              <w:rPr>
                <w:rFonts w:hint="eastAsia" w:ascii="宋体" w:hAnsi="宋体" w:cs="宋体"/>
                <w:color w:val="000000"/>
                <w:kern w:val="0"/>
                <w:szCs w:val="21"/>
              </w:rPr>
              <w:t xml:space="preserve">-0.404 </w:t>
            </w:r>
          </w:p>
        </w:tc>
      </w:tr>
      <w:tr w14:paraId="5FE0EDB6">
        <w:tblPrEx>
          <w:tblCellMar>
            <w:top w:w="15" w:type="dxa"/>
            <w:left w:w="15" w:type="dxa"/>
            <w:bottom w:w="15" w:type="dxa"/>
            <w:right w:w="15" w:type="dxa"/>
          </w:tblCellMar>
        </w:tblPrEx>
        <w:trPr>
          <w:trHeight w:val="319" w:hRule="atLeast"/>
        </w:trPr>
        <w:tc>
          <w:tcPr>
            <w:tcW w:w="1922" w:type="dxa"/>
            <w:tcBorders>
              <w:top w:val="single" w:color="000000" w:sz="4" w:space="0"/>
              <w:left w:val="single" w:color="000000" w:sz="4" w:space="0"/>
              <w:bottom w:val="single" w:color="000000" w:sz="4" w:space="0"/>
              <w:right w:val="single" w:color="000000" w:sz="4" w:space="0"/>
            </w:tcBorders>
          </w:tcPr>
          <w:p w14:paraId="6CCC82DD">
            <w:pPr>
              <w:jc w:val="center"/>
              <w:rPr>
                <w:rFonts w:ascii="宋体" w:hAnsi="宋体" w:cs="宋体"/>
                <w:color w:val="000000"/>
                <w:kern w:val="0"/>
                <w:szCs w:val="21"/>
              </w:rPr>
            </w:pPr>
            <w:r>
              <w:rPr>
                <w:rFonts w:hint="eastAsia" w:ascii="宋体" w:hAnsi="宋体" w:cs="宋体"/>
                <w:color w:val="000000"/>
                <w:kern w:val="0"/>
                <w:szCs w:val="21"/>
              </w:rPr>
              <w:t>障碍层深度</w:t>
            </w:r>
          </w:p>
        </w:tc>
        <w:tc>
          <w:tcPr>
            <w:tcW w:w="963" w:type="dxa"/>
            <w:tcBorders>
              <w:top w:val="single" w:color="000000" w:sz="4" w:space="0"/>
              <w:left w:val="single" w:color="000000" w:sz="4" w:space="0"/>
              <w:bottom w:val="single" w:color="000000" w:sz="4" w:space="0"/>
              <w:right w:val="single" w:color="000000" w:sz="4" w:space="0"/>
            </w:tcBorders>
            <w:vAlign w:val="center"/>
          </w:tcPr>
          <w:p w14:paraId="42D5471C">
            <w:pPr>
              <w:jc w:val="center"/>
              <w:rPr>
                <w:rFonts w:ascii="宋体" w:hAnsi="宋体" w:cs="宋体"/>
                <w:color w:val="000000"/>
                <w:kern w:val="0"/>
                <w:szCs w:val="21"/>
              </w:rPr>
            </w:pPr>
            <w:r>
              <w:rPr>
                <w:rFonts w:hint="eastAsia" w:ascii="宋体" w:hAnsi="宋体" w:cs="宋体"/>
                <w:color w:val="000000"/>
                <w:kern w:val="0"/>
                <w:szCs w:val="21"/>
              </w:rPr>
              <w:t xml:space="preserve">0.050 </w:t>
            </w:r>
          </w:p>
        </w:tc>
        <w:tc>
          <w:tcPr>
            <w:tcW w:w="962" w:type="dxa"/>
            <w:tcBorders>
              <w:top w:val="single" w:color="000000" w:sz="4" w:space="0"/>
              <w:left w:val="single" w:color="000000" w:sz="4" w:space="0"/>
              <w:bottom w:val="single" w:color="000000" w:sz="4" w:space="0"/>
              <w:right w:val="single" w:color="000000" w:sz="4" w:space="0"/>
            </w:tcBorders>
            <w:vAlign w:val="center"/>
          </w:tcPr>
          <w:p w14:paraId="471268BE">
            <w:pPr>
              <w:jc w:val="center"/>
              <w:rPr>
                <w:rFonts w:ascii="宋体" w:hAnsi="宋体" w:cs="宋体"/>
                <w:color w:val="000000"/>
                <w:kern w:val="0"/>
                <w:szCs w:val="21"/>
              </w:rPr>
            </w:pPr>
            <w:r>
              <w:rPr>
                <w:rFonts w:hint="eastAsia" w:ascii="宋体" w:hAnsi="宋体" w:cs="宋体"/>
                <w:color w:val="000000"/>
                <w:kern w:val="0"/>
                <w:szCs w:val="21"/>
              </w:rPr>
              <w:t xml:space="preserve">0.559 </w:t>
            </w:r>
          </w:p>
        </w:tc>
        <w:tc>
          <w:tcPr>
            <w:tcW w:w="1096" w:type="dxa"/>
            <w:tcBorders>
              <w:top w:val="single" w:color="000000" w:sz="4" w:space="0"/>
              <w:left w:val="single" w:color="000000" w:sz="4" w:space="0"/>
              <w:bottom w:val="single" w:color="000000" w:sz="4" w:space="0"/>
              <w:right w:val="single" w:color="000000" w:sz="4" w:space="0"/>
            </w:tcBorders>
            <w:vAlign w:val="center"/>
          </w:tcPr>
          <w:p w14:paraId="1E3D395D">
            <w:pPr>
              <w:jc w:val="center"/>
              <w:rPr>
                <w:rFonts w:ascii="宋体" w:hAnsi="宋体" w:cs="宋体"/>
                <w:color w:val="000000"/>
                <w:kern w:val="0"/>
                <w:szCs w:val="21"/>
              </w:rPr>
            </w:pPr>
            <w:r>
              <w:rPr>
                <w:rFonts w:hint="eastAsia" w:ascii="宋体" w:hAnsi="宋体" w:cs="宋体"/>
                <w:color w:val="000000"/>
                <w:kern w:val="0"/>
                <w:szCs w:val="21"/>
              </w:rPr>
              <w:t xml:space="preserve">0.280 </w:t>
            </w:r>
          </w:p>
        </w:tc>
        <w:tc>
          <w:tcPr>
            <w:tcW w:w="1152" w:type="dxa"/>
            <w:tcBorders>
              <w:top w:val="single" w:color="000000" w:sz="4" w:space="0"/>
              <w:left w:val="single" w:color="000000" w:sz="4" w:space="0"/>
              <w:bottom w:val="single" w:color="000000" w:sz="4" w:space="0"/>
              <w:right w:val="single" w:color="000000" w:sz="4" w:space="0"/>
            </w:tcBorders>
            <w:vAlign w:val="center"/>
          </w:tcPr>
          <w:p w14:paraId="7E67AD84">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6527E81D">
            <w:pPr>
              <w:jc w:val="center"/>
              <w:rPr>
                <w:rFonts w:ascii="宋体" w:hAnsi="宋体" w:cs="宋体"/>
                <w:color w:val="000000"/>
                <w:kern w:val="0"/>
                <w:szCs w:val="21"/>
              </w:rPr>
            </w:pPr>
            <w:r>
              <w:rPr>
                <w:rFonts w:hint="eastAsia" w:ascii="宋体" w:hAnsi="宋体" w:cs="宋体"/>
                <w:color w:val="000000"/>
                <w:kern w:val="0"/>
                <w:szCs w:val="21"/>
              </w:rPr>
              <w:t xml:space="preserve">-0.260 </w:t>
            </w:r>
          </w:p>
        </w:tc>
        <w:tc>
          <w:tcPr>
            <w:tcW w:w="1136" w:type="dxa"/>
            <w:tcBorders>
              <w:top w:val="single" w:color="000000" w:sz="4" w:space="0"/>
              <w:left w:val="single" w:color="000000" w:sz="4" w:space="0"/>
              <w:bottom w:val="single" w:color="000000" w:sz="4" w:space="0"/>
              <w:right w:val="single" w:color="000000" w:sz="4" w:space="0"/>
            </w:tcBorders>
            <w:vAlign w:val="center"/>
          </w:tcPr>
          <w:p w14:paraId="3C86A8B1">
            <w:pPr>
              <w:jc w:val="center"/>
              <w:rPr>
                <w:rFonts w:ascii="宋体" w:hAnsi="宋体" w:cs="宋体"/>
                <w:color w:val="000000"/>
                <w:kern w:val="0"/>
                <w:szCs w:val="21"/>
              </w:rPr>
            </w:pPr>
            <w:r>
              <w:rPr>
                <w:rFonts w:hint="eastAsia" w:ascii="宋体" w:hAnsi="宋体" w:cs="宋体"/>
                <w:color w:val="000000"/>
                <w:kern w:val="0"/>
                <w:szCs w:val="21"/>
              </w:rPr>
              <w:t xml:space="preserve">-0.520 </w:t>
            </w:r>
          </w:p>
        </w:tc>
      </w:tr>
      <w:tr w14:paraId="366352FD">
        <w:tblPrEx>
          <w:tblCellMar>
            <w:top w:w="15" w:type="dxa"/>
            <w:left w:w="15" w:type="dxa"/>
            <w:bottom w:w="15" w:type="dxa"/>
            <w:right w:w="15" w:type="dxa"/>
          </w:tblCellMar>
        </w:tblPrEx>
        <w:trPr>
          <w:trHeight w:val="238" w:hRule="atLeast"/>
        </w:trPr>
        <w:tc>
          <w:tcPr>
            <w:tcW w:w="1922" w:type="dxa"/>
            <w:tcBorders>
              <w:top w:val="single" w:color="000000" w:sz="4" w:space="0"/>
              <w:left w:val="single" w:color="000000" w:sz="4" w:space="0"/>
              <w:bottom w:val="single" w:color="000000" w:sz="4" w:space="0"/>
              <w:right w:val="single" w:color="000000" w:sz="4" w:space="0"/>
            </w:tcBorders>
          </w:tcPr>
          <w:p w14:paraId="51A820E7">
            <w:pPr>
              <w:jc w:val="center"/>
              <w:rPr>
                <w:rFonts w:ascii="宋体" w:hAnsi="宋体" w:cs="宋体"/>
                <w:color w:val="000000"/>
                <w:kern w:val="0"/>
                <w:szCs w:val="21"/>
              </w:rPr>
            </w:pPr>
            <w:r>
              <w:rPr>
                <w:rFonts w:hint="eastAsia" w:ascii="宋体" w:hAnsi="宋体" w:cs="宋体"/>
                <w:color w:val="000000"/>
                <w:kern w:val="0"/>
                <w:szCs w:val="21"/>
              </w:rPr>
              <w:t>灌溉保证率</w:t>
            </w:r>
          </w:p>
        </w:tc>
        <w:tc>
          <w:tcPr>
            <w:tcW w:w="963" w:type="dxa"/>
            <w:tcBorders>
              <w:top w:val="single" w:color="000000" w:sz="4" w:space="0"/>
              <w:left w:val="single" w:color="000000" w:sz="4" w:space="0"/>
              <w:bottom w:val="single" w:color="000000" w:sz="4" w:space="0"/>
              <w:right w:val="single" w:color="000000" w:sz="4" w:space="0"/>
            </w:tcBorders>
            <w:vAlign w:val="center"/>
          </w:tcPr>
          <w:p w14:paraId="097A71E8">
            <w:pPr>
              <w:jc w:val="center"/>
              <w:rPr>
                <w:rFonts w:ascii="宋体" w:hAnsi="宋体" w:cs="宋体"/>
                <w:color w:val="000000"/>
                <w:kern w:val="0"/>
                <w:szCs w:val="21"/>
              </w:rPr>
            </w:pPr>
            <w:r>
              <w:rPr>
                <w:rFonts w:hint="eastAsia" w:ascii="宋体" w:hAnsi="宋体" w:cs="宋体"/>
                <w:color w:val="000000"/>
                <w:kern w:val="0"/>
                <w:szCs w:val="21"/>
              </w:rPr>
              <w:t xml:space="preserve">0.055 </w:t>
            </w:r>
          </w:p>
        </w:tc>
        <w:tc>
          <w:tcPr>
            <w:tcW w:w="962" w:type="dxa"/>
            <w:tcBorders>
              <w:top w:val="single" w:color="000000" w:sz="4" w:space="0"/>
              <w:left w:val="single" w:color="000000" w:sz="4" w:space="0"/>
              <w:bottom w:val="single" w:color="000000" w:sz="4" w:space="0"/>
              <w:right w:val="single" w:color="000000" w:sz="4" w:space="0"/>
            </w:tcBorders>
            <w:vAlign w:val="center"/>
          </w:tcPr>
          <w:p w14:paraId="417229E5">
            <w:pPr>
              <w:jc w:val="center"/>
              <w:rPr>
                <w:rFonts w:ascii="宋体" w:hAnsi="宋体" w:cs="宋体"/>
                <w:color w:val="000000"/>
                <w:kern w:val="0"/>
                <w:szCs w:val="21"/>
              </w:rPr>
            </w:pPr>
            <w:r>
              <w:rPr>
                <w:rFonts w:hint="eastAsia" w:ascii="宋体" w:hAnsi="宋体" w:cs="宋体"/>
                <w:color w:val="000000"/>
                <w:kern w:val="0"/>
                <w:szCs w:val="21"/>
              </w:rPr>
              <w:t xml:space="preserve">0.622 </w:t>
            </w:r>
          </w:p>
        </w:tc>
        <w:tc>
          <w:tcPr>
            <w:tcW w:w="1096" w:type="dxa"/>
            <w:tcBorders>
              <w:top w:val="single" w:color="000000" w:sz="4" w:space="0"/>
              <w:left w:val="single" w:color="000000" w:sz="4" w:space="0"/>
              <w:bottom w:val="single" w:color="000000" w:sz="4" w:space="0"/>
              <w:right w:val="single" w:color="000000" w:sz="4" w:space="0"/>
            </w:tcBorders>
            <w:vAlign w:val="center"/>
          </w:tcPr>
          <w:p w14:paraId="16B58939">
            <w:pPr>
              <w:jc w:val="center"/>
              <w:rPr>
                <w:rFonts w:ascii="宋体" w:hAnsi="宋体" w:cs="宋体"/>
                <w:color w:val="000000"/>
                <w:kern w:val="0"/>
                <w:szCs w:val="21"/>
              </w:rPr>
            </w:pPr>
            <w:r>
              <w:rPr>
                <w:rFonts w:hint="eastAsia" w:ascii="宋体" w:hAnsi="宋体" w:cs="宋体"/>
                <w:color w:val="000000"/>
                <w:kern w:val="0"/>
                <w:szCs w:val="21"/>
              </w:rPr>
              <w:t xml:space="preserve">0.311 </w:t>
            </w:r>
          </w:p>
        </w:tc>
        <w:tc>
          <w:tcPr>
            <w:tcW w:w="1152" w:type="dxa"/>
            <w:tcBorders>
              <w:top w:val="single" w:color="000000" w:sz="4" w:space="0"/>
              <w:left w:val="single" w:color="000000" w:sz="4" w:space="0"/>
              <w:bottom w:val="single" w:color="000000" w:sz="4" w:space="0"/>
              <w:right w:val="single" w:color="000000" w:sz="4" w:space="0"/>
            </w:tcBorders>
            <w:vAlign w:val="center"/>
          </w:tcPr>
          <w:p w14:paraId="246E73E3">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743E1B8F">
            <w:pPr>
              <w:jc w:val="center"/>
              <w:rPr>
                <w:rFonts w:ascii="宋体" w:hAnsi="宋体" w:cs="宋体"/>
                <w:color w:val="000000"/>
                <w:kern w:val="0"/>
                <w:szCs w:val="21"/>
              </w:rPr>
            </w:pPr>
            <w:r>
              <w:rPr>
                <w:rFonts w:hint="eastAsia" w:ascii="宋体" w:hAnsi="宋体" w:cs="宋体"/>
                <w:color w:val="000000"/>
                <w:kern w:val="0"/>
                <w:szCs w:val="21"/>
              </w:rPr>
              <w:t xml:space="preserve">-0.289 </w:t>
            </w:r>
          </w:p>
        </w:tc>
        <w:tc>
          <w:tcPr>
            <w:tcW w:w="1136" w:type="dxa"/>
            <w:tcBorders>
              <w:top w:val="single" w:color="000000" w:sz="4" w:space="0"/>
              <w:left w:val="single" w:color="000000" w:sz="4" w:space="0"/>
              <w:bottom w:val="single" w:color="000000" w:sz="4" w:space="0"/>
              <w:right w:val="single" w:color="000000" w:sz="4" w:space="0"/>
            </w:tcBorders>
            <w:vAlign w:val="center"/>
          </w:tcPr>
          <w:p w14:paraId="64E5B62A">
            <w:pPr>
              <w:jc w:val="center"/>
              <w:rPr>
                <w:rFonts w:ascii="宋体" w:hAnsi="宋体" w:cs="宋体"/>
                <w:color w:val="000000"/>
                <w:kern w:val="0"/>
                <w:szCs w:val="21"/>
              </w:rPr>
            </w:pPr>
            <w:r>
              <w:rPr>
                <w:rFonts w:hint="eastAsia" w:ascii="宋体" w:hAnsi="宋体" w:cs="宋体"/>
                <w:color w:val="000000"/>
                <w:kern w:val="0"/>
                <w:szCs w:val="21"/>
              </w:rPr>
              <w:t xml:space="preserve">-0.578 </w:t>
            </w:r>
          </w:p>
        </w:tc>
      </w:tr>
      <w:tr w14:paraId="22BA5912">
        <w:tblPrEx>
          <w:tblCellMar>
            <w:top w:w="15" w:type="dxa"/>
            <w:left w:w="15" w:type="dxa"/>
            <w:bottom w:w="15" w:type="dxa"/>
            <w:right w:w="15" w:type="dxa"/>
          </w:tblCellMar>
        </w:tblPrEx>
        <w:trPr>
          <w:trHeight w:val="315" w:hRule="atLeast"/>
        </w:trPr>
        <w:tc>
          <w:tcPr>
            <w:tcW w:w="1922" w:type="dxa"/>
            <w:tcBorders>
              <w:top w:val="single" w:color="000000" w:sz="4" w:space="0"/>
              <w:left w:val="single" w:color="000000" w:sz="4" w:space="0"/>
              <w:bottom w:val="single" w:color="000000" w:sz="4" w:space="0"/>
              <w:right w:val="single" w:color="000000" w:sz="4" w:space="0"/>
            </w:tcBorders>
          </w:tcPr>
          <w:p w14:paraId="6627A383">
            <w:pPr>
              <w:jc w:val="center"/>
              <w:rPr>
                <w:rFonts w:ascii="宋体" w:hAnsi="宋体" w:cs="宋体"/>
                <w:color w:val="000000"/>
                <w:kern w:val="0"/>
                <w:szCs w:val="21"/>
              </w:rPr>
            </w:pPr>
            <w:r>
              <w:rPr>
                <w:rFonts w:hint="eastAsia" w:ascii="宋体" w:hAnsi="宋体" w:cs="宋体"/>
                <w:color w:val="000000"/>
                <w:kern w:val="0"/>
                <w:szCs w:val="21"/>
              </w:rPr>
              <w:t>地下水埋深</w:t>
            </w:r>
          </w:p>
        </w:tc>
        <w:tc>
          <w:tcPr>
            <w:tcW w:w="963" w:type="dxa"/>
            <w:tcBorders>
              <w:top w:val="single" w:color="000000" w:sz="4" w:space="0"/>
              <w:left w:val="single" w:color="000000" w:sz="4" w:space="0"/>
              <w:bottom w:val="single" w:color="000000" w:sz="4" w:space="0"/>
              <w:right w:val="single" w:color="000000" w:sz="4" w:space="0"/>
            </w:tcBorders>
            <w:vAlign w:val="center"/>
          </w:tcPr>
          <w:p w14:paraId="69FB2EFE">
            <w:pPr>
              <w:jc w:val="center"/>
              <w:rPr>
                <w:rFonts w:ascii="宋体" w:hAnsi="宋体" w:cs="宋体"/>
                <w:color w:val="000000"/>
                <w:kern w:val="0"/>
                <w:szCs w:val="21"/>
              </w:rPr>
            </w:pPr>
            <w:r>
              <w:rPr>
                <w:rFonts w:hint="eastAsia" w:ascii="宋体" w:hAnsi="宋体" w:cs="宋体"/>
                <w:color w:val="000000"/>
                <w:kern w:val="0"/>
                <w:szCs w:val="21"/>
              </w:rPr>
              <w:t xml:space="preserve">0.055 </w:t>
            </w:r>
          </w:p>
        </w:tc>
        <w:tc>
          <w:tcPr>
            <w:tcW w:w="962" w:type="dxa"/>
            <w:tcBorders>
              <w:top w:val="single" w:color="000000" w:sz="4" w:space="0"/>
              <w:left w:val="single" w:color="000000" w:sz="4" w:space="0"/>
              <w:bottom w:val="single" w:color="000000" w:sz="4" w:space="0"/>
              <w:right w:val="single" w:color="000000" w:sz="4" w:space="0"/>
            </w:tcBorders>
            <w:vAlign w:val="center"/>
          </w:tcPr>
          <w:p w14:paraId="3D0192ED">
            <w:pPr>
              <w:jc w:val="center"/>
              <w:rPr>
                <w:rFonts w:ascii="宋体" w:hAnsi="宋体" w:cs="宋体"/>
                <w:color w:val="000000"/>
                <w:kern w:val="0"/>
                <w:szCs w:val="21"/>
              </w:rPr>
            </w:pPr>
            <w:r>
              <w:rPr>
                <w:rFonts w:hint="eastAsia" w:ascii="宋体" w:hAnsi="宋体" w:cs="宋体"/>
                <w:color w:val="000000"/>
                <w:kern w:val="0"/>
                <w:szCs w:val="21"/>
              </w:rPr>
              <w:t xml:space="preserve">0.622 </w:t>
            </w:r>
          </w:p>
        </w:tc>
        <w:tc>
          <w:tcPr>
            <w:tcW w:w="1096" w:type="dxa"/>
            <w:tcBorders>
              <w:top w:val="single" w:color="000000" w:sz="4" w:space="0"/>
              <w:left w:val="single" w:color="000000" w:sz="4" w:space="0"/>
              <w:bottom w:val="single" w:color="000000" w:sz="4" w:space="0"/>
              <w:right w:val="single" w:color="000000" w:sz="4" w:space="0"/>
            </w:tcBorders>
            <w:vAlign w:val="center"/>
          </w:tcPr>
          <w:p w14:paraId="666ABEA0">
            <w:pPr>
              <w:jc w:val="center"/>
              <w:rPr>
                <w:rFonts w:ascii="宋体" w:hAnsi="宋体" w:cs="宋体"/>
                <w:color w:val="000000"/>
                <w:kern w:val="0"/>
                <w:szCs w:val="21"/>
              </w:rPr>
            </w:pPr>
            <w:r>
              <w:rPr>
                <w:rFonts w:hint="eastAsia" w:ascii="宋体" w:hAnsi="宋体" w:cs="宋体"/>
                <w:color w:val="000000"/>
                <w:kern w:val="0"/>
                <w:szCs w:val="21"/>
              </w:rPr>
              <w:t xml:space="preserve">0.311 </w:t>
            </w:r>
          </w:p>
        </w:tc>
        <w:tc>
          <w:tcPr>
            <w:tcW w:w="1152" w:type="dxa"/>
            <w:tcBorders>
              <w:top w:val="single" w:color="000000" w:sz="4" w:space="0"/>
              <w:left w:val="single" w:color="000000" w:sz="4" w:space="0"/>
              <w:bottom w:val="single" w:color="000000" w:sz="4" w:space="0"/>
              <w:right w:val="single" w:color="000000" w:sz="4" w:space="0"/>
            </w:tcBorders>
            <w:vAlign w:val="center"/>
          </w:tcPr>
          <w:p w14:paraId="47B07BA9">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6473F7B5">
            <w:pPr>
              <w:jc w:val="center"/>
              <w:rPr>
                <w:rFonts w:ascii="宋体" w:hAnsi="宋体" w:cs="宋体"/>
                <w:color w:val="000000"/>
                <w:kern w:val="0"/>
                <w:szCs w:val="21"/>
              </w:rPr>
            </w:pPr>
            <w:r>
              <w:rPr>
                <w:rFonts w:hint="eastAsia" w:ascii="宋体" w:hAnsi="宋体" w:cs="宋体"/>
                <w:color w:val="000000"/>
                <w:kern w:val="0"/>
                <w:szCs w:val="21"/>
              </w:rPr>
              <w:t xml:space="preserve">-0.289 </w:t>
            </w:r>
          </w:p>
        </w:tc>
        <w:tc>
          <w:tcPr>
            <w:tcW w:w="1136" w:type="dxa"/>
            <w:tcBorders>
              <w:top w:val="single" w:color="000000" w:sz="4" w:space="0"/>
              <w:left w:val="single" w:color="000000" w:sz="4" w:space="0"/>
              <w:bottom w:val="single" w:color="000000" w:sz="4" w:space="0"/>
              <w:right w:val="single" w:color="000000" w:sz="4" w:space="0"/>
            </w:tcBorders>
            <w:vAlign w:val="center"/>
          </w:tcPr>
          <w:p w14:paraId="3DE29F1F">
            <w:pPr>
              <w:jc w:val="center"/>
              <w:rPr>
                <w:rFonts w:ascii="宋体" w:hAnsi="宋体" w:cs="宋体"/>
                <w:color w:val="000000"/>
                <w:kern w:val="0"/>
                <w:szCs w:val="21"/>
              </w:rPr>
            </w:pPr>
            <w:r>
              <w:rPr>
                <w:rFonts w:hint="eastAsia" w:ascii="宋体" w:hAnsi="宋体" w:cs="宋体"/>
                <w:color w:val="000000"/>
                <w:kern w:val="0"/>
                <w:szCs w:val="21"/>
              </w:rPr>
              <w:t xml:space="preserve">-0.578 </w:t>
            </w:r>
          </w:p>
        </w:tc>
      </w:tr>
      <w:tr w14:paraId="23ABFEA6">
        <w:tblPrEx>
          <w:tblCellMar>
            <w:top w:w="15" w:type="dxa"/>
            <w:left w:w="15" w:type="dxa"/>
            <w:bottom w:w="15" w:type="dxa"/>
            <w:right w:w="15" w:type="dxa"/>
          </w:tblCellMar>
        </w:tblPrEx>
        <w:trPr>
          <w:trHeight w:val="262" w:hRule="atLeast"/>
        </w:trPr>
        <w:tc>
          <w:tcPr>
            <w:tcW w:w="1922" w:type="dxa"/>
            <w:tcBorders>
              <w:top w:val="single" w:color="000000" w:sz="4" w:space="0"/>
              <w:left w:val="single" w:color="000000" w:sz="4" w:space="0"/>
              <w:bottom w:val="single" w:color="000000" w:sz="4" w:space="0"/>
              <w:right w:val="single" w:color="000000" w:sz="4" w:space="0"/>
            </w:tcBorders>
          </w:tcPr>
          <w:p w14:paraId="0EED66CA">
            <w:pPr>
              <w:jc w:val="center"/>
              <w:rPr>
                <w:rFonts w:ascii="宋体" w:hAnsi="宋体" w:cs="宋体"/>
                <w:color w:val="000000"/>
                <w:kern w:val="0"/>
                <w:szCs w:val="21"/>
              </w:rPr>
            </w:pPr>
            <w:r>
              <w:rPr>
                <w:rFonts w:hint="eastAsia" w:ascii="宋体" w:hAnsi="宋体" w:cs="宋体"/>
                <w:color w:val="000000"/>
                <w:kern w:val="0"/>
                <w:szCs w:val="21"/>
              </w:rPr>
              <w:t>农贸市场影响度</w:t>
            </w:r>
          </w:p>
        </w:tc>
        <w:tc>
          <w:tcPr>
            <w:tcW w:w="963" w:type="dxa"/>
            <w:tcBorders>
              <w:top w:val="single" w:color="000000" w:sz="4" w:space="0"/>
              <w:left w:val="single" w:color="000000" w:sz="4" w:space="0"/>
              <w:bottom w:val="single" w:color="000000" w:sz="4" w:space="0"/>
              <w:right w:val="single" w:color="000000" w:sz="4" w:space="0"/>
            </w:tcBorders>
            <w:vAlign w:val="center"/>
          </w:tcPr>
          <w:p w14:paraId="42D2024E">
            <w:pPr>
              <w:jc w:val="center"/>
              <w:rPr>
                <w:rFonts w:ascii="宋体" w:hAnsi="宋体" w:cs="宋体"/>
                <w:color w:val="000000"/>
                <w:kern w:val="0"/>
                <w:szCs w:val="21"/>
              </w:rPr>
            </w:pPr>
            <w:r>
              <w:rPr>
                <w:rFonts w:hint="eastAsia" w:ascii="宋体" w:hAnsi="宋体" w:cs="宋体"/>
                <w:color w:val="000000"/>
                <w:kern w:val="0"/>
                <w:szCs w:val="21"/>
              </w:rPr>
              <w:t xml:space="preserve">0.080 </w:t>
            </w:r>
          </w:p>
        </w:tc>
        <w:tc>
          <w:tcPr>
            <w:tcW w:w="962" w:type="dxa"/>
            <w:tcBorders>
              <w:top w:val="single" w:color="000000" w:sz="4" w:space="0"/>
              <w:left w:val="single" w:color="000000" w:sz="4" w:space="0"/>
              <w:bottom w:val="single" w:color="000000" w:sz="4" w:space="0"/>
              <w:right w:val="single" w:color="000000" w:sz="4" w:space="0"/>
            </w:tcBorders>
            <w:vAlign w:val="center"/>
          </w:tcPr>
          <w:p w14:paraId="12C75A60">
            <w:pPr>
              <w:jc w:val="center"/>
              <w:rPr>
                <w:rFonts w:ascii="宋体" w:hAnsi="宋体" w:cs="宋体"/>
                <w:color w:val="000000"/>
                <w:kern w:val="0"/>
                <w:szCs w:val="21"/>
              </w:rPr>
            </w:pPr>
            <w:r>
              <w:rPr>
                <w:rFonts w:hint="eastAsia" w:ascii="宋体" w:hAnsi="宋体" w:cs="宋体"/>
                <w:color w:val="000000"/>
                <w:kern w:val="0"/>
                <w:szCs w:val="21"/>
              </w:rPr>
              <w:t xml:space="preserve">0.904 </w:t>
            </w:r>
          </w:p>
        </w:tc>
        <w:tc>
          <w:tcPr>
            <w:tcW w:w="1096" w:type="dxa"/>
            <w:tcBorders>
              <w:top w:val="single" w:color="000000" w:sz="4" w:space="0"/>
              <w:left w:val="single" w:color="000000" w:sz="4" w:space="0"/>
              <w:bottom w:val="single" w:color="000000" w:sz="4" w:space="0"/>
              <w:right w:val="single" w:color="000000" w:sz="4" w:space="0"/>
            </w:tcBorders>
            <w:vAlign w:val="center"/>
          </w:tcPr>
          <w:p w14:paraId="4701D947">
            <w:pPr>
              <w:jc w:val="center"/>
              <w:rPr>
                <w:rFonts w:ascii="宋体" w:hAnsi="宋体" w:cs="宋体"/>
                <w:color w:val="000000"/>
                <w:kern w:val="0"/>
                <w:szCs w:val="21"/>
              </w:rPr>
            </w:pPr>
            <w:r>
              <w:rPr>
                <w:rFonts w:hint="eastAsia" w:ascii="宋体" w:hAnsi="宋体" w:cs="宋体"/>
                <w:color w:val="000000"/>
                <w:kern w:val="0"/>
                <w:szCs w:val="21"/>
              </w:rPr>
              <w:t xml:space="preserve">0.452 </w:t>
            </w:r>
          </w:p>
        </w:tc>
        <w:tc>
          <w:tcPr>
            <w:tcW w:w="1152" w:type="dxa"/>
            <w:tcBorders>
              <w:top w:val="single" w:color="000000" w:sz="4" w:space="0"/>
              <w:left w:val="single" w:color="000000" w:sz="4" w:space="0"/>
              <w:bottom w:val="single" w:color="000000" w:sz="4" w:space="0"/>
              <w:right w:val="single" w:color="000000" w:sz="4" w:space="0"/>
            </w:tcBorders>
            <w:vAlign w:val="center"/>
          </w:tcPr>
          <w:p w14:paraId="5032763D">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30439ED1">
            <w:pPr>
              <w:jc w:val="center"/>
              <w:rPr>
                <w:rFonts w:ascii="宋体" w:hAnsi="宋体" w:cs="宋体"/>
                <w:color w:val="000000"/>
                <w:kern w:val="0"/>
                <w:szCs w:val="21"/>
              </w:rPr>
            </w:pPr>
            <w:r>
              <w:rPr>
                <w:rFonts w:hint="eastAsia" w:ascii="宋体" w:hAnsi="宋体" w:cs="宋体"/>
                <w:color w:val="000000"/>
                <w:kern w:val="0"/>
                <w:szCs w:val="21"/>
              </w:rPr>
              <w:t xml:space="preserve">-0.420 </w:t>
            </w:r>
          </w:p>
        </w:tc>
        <w:tc>
          <w:tcPr>
            <w:tcW w:w="1136" w:type="dxa"/>
            <w:tcBorders>
              <w:top w:val="single" w:color="000000" w:sz="4" w:space="0"/>
              <w:left w:val="single" w:color="000000" w:sz="4" w:space="0"/>
              <w:bottom w:val="single" w:color="000000" w:sz="4" w:space="0"/>
              <w:right w:val="single" w:color="000000" w:sz="4" w:space="0"/>
            </w:tcBorders>
            <w:vAlign w:val="center"/>
          </w:tcPr>
          <w:p w14:paraId="1C2FAC36">
            <w:pPr>
              <w:jc w:val="center"/>
              <w:rPr>
                <w:rFonts w:ascii="宋体" w:hAnsi="宋体" w:cs="宋体"/>
                <w:color w:val="000000"/>
                <w:kern w:val="0"/>
                <w:szCs w:val="21"/>
              </w:rPr>
            </w:pPr>
            <w:r>
              <w:rPr>
                <w:rFonts w:hint="eastAsia" w:ascii="宋体" w:hAnsi="宋体" w:cs="宋体"/>
                <w:color w:val="000000"/>
                <w:kern w:val="0"/>
                <w:szCs w:val="21"/>
              </w:rPr>
              <w:t xml:space="preserve">-0.840 </w:t>
            </w:r>
          </w:p>
        </w:tc>
      </w:tr>
      <w:tr w14:paraId="0BA94F6B">
        <w:tblPrEx>
          <w:tblCellMar>
            <w:top w:w="15" w:type="dxa"/>
            <w:left w:w="15" w:type="dxa"/>
            <w:bottom w:w="15" w:type="dxa"/>
            <w:right w:w="15" w:type="dxa"/>
          </w:tblCellMar>
        </w:tblPrEx>
        <w:trPr>
          <w:trHeight w:val="326" w:hRule="atLeast"/>
        </w:trPr>
        <w:tc>
          <w:tcPr>
            <w:tcW w:w="1922" w:type="dxa"/>
            <w:tcBorders>
              <w:top w:val="single" w:color="000000" w:sz="4" w:space="0"/>
              <w:left w:val="single" w:color="000000" w:sz="4" w:space="0"/>
              <w:bottom w:val="single" w:color="000000" w:sz="4" w:space="0"/>
              <w:right w:val="single" w:color="000000" w:sz="4" w:space="0"/>
            </w:tcBorders>
          </w:tcPr>
          <w:p w14:paraId="670DD3A7">
            <w:pPr>
              <w:jc w:val="center"/>
              <w:rPr>
                <w:rFonts w:ascii="宋体" w:hAnsi="宋体" w:cs="宋体"/>
                <w:color w:val="000000"/>
                <w:kern w:val="0"/>
                <w:szCs w:val="21"/>
              </w:rPr>
            </w:pPr>
            <w:r>
              <w:rPr>
                <w:rFonts w:hint="eastAsia" w:ascii="宋体" w:hAnsi="宋体" w:cs="宋体"/>
                <w:color w:val="000000"/>
                <w:kern w:val="0"/>
                <w:szCs w:val="21"/>
              </w:rPr>
              <w:t>道路通达度</w:t>
            </w:r>
          </w:p>
        </w:tc>
        <w:tc>
          <w:tcPr>
            <w:tcW w:w="963" w:type="dxa"/>
            <w:tcBorders>
              <w:top w:val="single" w:color="000000" w:sz="4" w:space="0"/>
              <w:left w:val="single" w:color="000000" w:sz="4" w:space="0"/>
              <w:bottom w:val="single" w:color="000000" w:sz="4" w:space="0"/>
              <w:right w:val="single" w:color="000000" w:sz="4" w:space="0"/>
            </w:tcBorders>
            <w:vAlign w:val="center"/>
          </w:tcPr>
          <w:p w14:paraId="56FF3720">
            <w:pPr>
              <w:jc w:val="center"/>
              <w:rPr>
                <w:rFonts w:ascii="宋体" w:hAnsi="宋体" w:cs="宋体"/>
                <w:color w:val="000000"/>
                <w:kern w:val="0"/>
                <w:szCs w:val="21"/>
              </w:rPr>
            </w:pPr>
            <w:r>
              <w:rPr>
                <w:rFonts w:hint="eastAsia" w:ascii="宋体" w:hAnsi="宋体" w:cs="宋体"/>
                <w:color w:val="000000"/>
                <w:kern w:val="0"/>
                <w:szCs w:val="21"/>
              </w:rPr>
              <w:t xml:space="preserve">0.080 </w:t>
            </w:r>
          </w:p>
        </w:tc>
        <w:tc>
          <w:tcPr>
            <w:tcW w:w="962" w:type="dxa"/>
            <w:tcBorders>
              <w:top w:val="single" w:color="000000" w:sz="4" w:space="0"/>
              <w:left w:val="single" w:color="000000" w:sz="4" w:space="0"/>
              <w:bottom w:val="single" w:color="000000" w:sz="4" w:space="0"/>
              <w:right w:val="single" w:color="000000" w:sz="4" w:space="0"/>
            </w:tcBorders>
            <w:vAlign w:val="center"/>
          </w:tcPr>
          <w:p w14:paraId="33485940">
            <w:pPr>
              <w:jc w:val="center"/>
              <w:rPr>
                <w:rFonts w:ascii="宋体" w:hAnsi="宋体" w:cs="宋体"/>
                <w:color w:val="000000"/>
                <w:kern w:val="0"/>
                <w:szCs w:val="21"/>
              </w:rPr>
            </w:pPr>
            <w:r>
              <w:rPr>
                <w:rFonts w:hint="eastAsia" w:ascii="宋体" w:hAnsi="宋体" w:cs="宋体"/>
                <w:color w:val="000000"/>
                <w:kern w:val="0"/>
                <w:szCs w:val="21"/>
              </w:rPr>
              <w:t xml:space="preserve">0.904 </w:t>
            </w:r>
          </w:p>
        </w:tc>
        <w:tc>
          <w:tcPr>
            <w:tcW w:w="1096" w:type="dxa"/>
            <w:tcBorders>
              <w:top w:val="single" w:color="000000" w:sz="4" w:space="0"/>
              <w:left w:val="single" w:color="000000" w:sz="4" w:space="0"/>
              <w:bottom w:val="single" w:color="000000" w:sz="4" w:space="0"/>
              <w:right w:val="single" w:color="000000" w:sz="4" w:space="0"/>
            </w:tcBorders>
            <w:vAlign w:val="center"/>
          </w:tcPr>
          <w:p w14:paraId="2C529915">
            <w:pPr>
              <w:jc w:val="center"/>
              <w:rPr>
                <w:rFonts w:ascii="宋体" w:hAnsi="宋体" w:cs="宋体"/>
                <w:color w:val="000000"/>
                <w:kern w:val="0"/>
                <w:szCs w:val="21"/>
              </w:rPr>
            </w:pPr>
            <w:r>
              <w:rPr>
                <w:rFonts w:hint="eastAsia" w:ascii="宋体" w:hAnsi="宋体" w:cs="宋体"/>
                <w:color w:val="000000"/>
                <w:kern w:val="0"/>
                <w:szCs w:val="21"/>
              </w:rPr>
              <w:t xml:space="preserve">0.452 </w:t>
            </w:r>
          </w:p>
        </w:tc>
        <w:tc>
          <w:tcPr>
            <w:tcW w:w="1152" w:type="dxa"/>
            <w:tcBorders>
              <w:top w:val="single" w:color="000000" w:sz="4" w:space="0"/>
              <w:left w:val="single" w:color="000000" w:sz="4" w:space="0"/>
              <w:bottom w:val="single" w:color="000000" w:sz="4" w:space="0"/>
              <w:right w:val="single" w:color="000000" w:sz="4" w:space="0"/>
            </w:tcBorders>
            <w:vAlign w:val="center"/>
          </w:tcPr>
          <w:p w14:paraId="20763094">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77BE1C31">
            <w:pPr>
              <w:jc w:val="center"/>
              <w:rPr>
                <w:rFonts w:ascii="宋体" w:hAnsi="宋体" w:cs="宋体"/>
                <w:color w:val="000000"/>
                <w:kern w:val="0"/>
                <w:szCs w:val="21"/>
              </w:rPr>
            </w:pPr>
            <w:r>
              <w:rPr>
                <w:rFonts w:hint="eastAsia" w:ascii="宋体" w:hAnsi="宋体" w:cs="宋体"/>
                <w:color w:val="000000"/>
                <w:kern w:val="0"/>
                <w:szCs w:val="21"/>
              </w:rPr>
              <w:t xml:space="preserve">-0.420 </w:t>
            </w:r>
          </w:p>
        </w:tc>
        <w:tc>
          <w:tcPr>
            <w:tcW w:w="1136" w:type="dxa"/>
            <w:tcBorders>
              <w:top w:val="single" w:color="000000" w:sz="4" w:space="0"/>
              <w:left w:val="single" w:color="000000" w:sz="4" w:space="0"/>
              <w:bottom w:val="single" w:color="000000" w:sz="4" w:space="0"/>
              <w:right w:val="single" w:color="000000" w:sz="4" w:space="0"/>
            </w:tcBorders>
            <w:vAlign w:val="center"/>
          </w:tcPr>
          <w:p w14:paraId="622BDECE">
            <w:pPr>
              <w:jc w:val="center"/>
              <w:rPr>
                <w:rFonts w:ascii="宋体" w:hAnsi="宋体" w:cs="宋体"/>
                <w:color w:val="000000"/>
                <w:kern w:val="0"/>
                <w:szCs w:val="21"/>
              </w:rPr>
            </w:pPr>
            <w:r>
              <w:rPr>
                <w:rFonts w:hint="eastAsia" w:ascii="宋体" w:hAnsi="宋体" w:cs="宋体"/>
                <w:color w:val="000000"/>
                <w:kern w:val="0"/>
                <w:szCs w:val="21"/>
              </w:rPr>
              <w:t xml:space="preserve">-0.840 </w:t>
            </w:r>
          </w:p>
        </w:tc>
      </w:tr>
      <w:tr w14:paraId="659F9655">
        <w:tblPrEx>
          <w:tblCellMar>
            <w:top w:w="15" w:type="dxa"/>
            <w:left w:w="15" w:type="dxa"/>
            <w:bottom w:w="15" w:type="dxa"/>
            <w:right w:w="15" w:type="dxa"/>
          </w:tblCellMar>
        </w:tblPrEx>
        <w:trPr>
          <w:trHeight w:val="291" w:hRule="atLeast"/>
        </w:trPr>
        <w:tc>
          <w:tcPr>
            <w:tcW w:w="1922" w:type="dxa"/>
            <w:tcBorders>
              <w:top w:val="single" w:color="000000" w:sz="4" w:space="0"/>
              <w:left w:val="single" w:color="000000" w:sz="4" w:space="0"/>
              <w:bottom w:val="single" w:color="000000" w:sz="4" w:space="0"/>
              <w:right w:val="single" w:color="000000" w:sz="4" w:space="0"/>
            </w:tcBorders>
          </w:tcPr>
          <w:p w14:paraId="7B2A815D">
            <w:pPr>
              <w:jc w:val="center"/>
              <w:rPr>
                <w:rFonts w:ascii="宋体" w:hAnsi="宋体" w:cs="宋体"/>
                <w:color w:val="000000"/>
                <w:kern w:val="0"/>
                <w:szCs w:val="21"/>
              </w:rPr>
            </w:pPr>
            <w:r>
              <w:rPr>
                <w:rFonts w:hint="eastAsia" w:ascii="宋体" w:hAnsi="宋体" w:cs="宋体"/>
                <w:color w:val="000000"/>
                <w:kern w:val="0"/>
                <w:szCs w:val="21"/>
              </w:rPr>
              <w:t>排水条件</w:t>
            </w:r>
          </w:p>
        </w:tc>
        <w:tc>
          <w:tcPr>
            <w:tcW w:w="963" w:type="dxa"/>
            <w:tcBorders>
              <w:top w:val="single" w:color="000000" w:sz="4" w:space="0"/>
              <w:left w:val="single" w:color="000000" w:sz="4" w:space="0"/>
              <w:bottom w:val="single" w:color="000000" w:sz="4" w:space="0"/>
              <w:right w:val="single" w:color="000000" w:sz="4" w:space="0"/>
            </w:tcBorders>
            <w:vAlign w:val="center"/>
          </w:tcPr>
          <w:p w14:paraId="6E132EB0">
            <w:pPr>
              <w:jc w:val="center"/>
              <w:rPr>
                <w:rFonts w:ascii="宋体" w:hAnsi="宋体" w:cs="宋体"/>
                <w:color w:val="000000"/>
                <w:kern w:val="0"/>
                <w:szCs w:val="21"/>
              </w:rPr>
            </w:pPr>
            <w:r>
              <w:rPr>
                <w:rFonts w:hint="eastAsia" w:ascii="宋体" w:hAnsi="宋体" w:cs="宋体"/>
                <w:color w:val="000000"/>
                <w:kern w:val="0"/>
                <w:szCs w:val="21"/>
              </w:rPr>
              <w:t xml:space="preserve">0.060 </w:t>
            </w:r>
          </w:p>
        </w:tc>
        <w:tc>
          <w:tcPr>
            <w:tcW w:w="962" w:type="dxa"/>
            <w:tcBorders>
              <w:top w:val="single" w:color="000000" w:sz="4" w:space="0"/>
              <w:left w:val="single" w:color="000000" w:sz="4" w:space="0"/>
              <w:bottom w:val="single" w:color="000000" w:sz="4" w:space="0"/>
              <w:right w:val="single" w:color="000000" w:sz="4" w:space="0"/>
            </w:tcBorders>
            <w:vAlign w:val="center"/>
          </w:tcPr>
          <w:p w14:paraId="377F7C3E">
            <w:pPr>
              <w:jc w:val="center"/>
              <w:rPr>
                <w:rFonts w:ascii="宋体" w:hAnsi="宋体" w:cs="宋体"/>
                <w:color w:val="000000"/>
                <w:kern w:val="0"/>
                <w:szCs w:val="21"/>
              </w:rPr>
            </w:pPr>
            <w:r>
              <w:rPr>
                <w:rFonts w:hint="eastAsia" w:ascii="宋体" w:hAnsi="宋体" w:cs="宋体"/>
                <w:color w:val="000000"/>
                <w:kern w:val="0"/>
                <w:szCs w:val="21"/>
              </w:rPr>
              <w:t xml:space="preserve">0.678 </w:t>
            </w:r>
          </w:p>
        </w:tc>
        <w:tc>
          <w:tcPr>
            <w:tcW w:w="1096" w:type="dxa"/>
            <w:tcBorders>
              <w:top w:val="single" w:color="000000" w:sz="4" w:space="0"/>
              <w:left w:val="single" w:color="000000" w:sz="4" w:space="0"/>
              <w:bottom w:val="single" w:color="000000" w:sz="4" w:space="0"/>
              <w:right w:val="single" w:color="000000" w:sz="4" w:space="0"/>
            </w:tcBorders>
            <w:vAlign w:val="center"/>
          </w:tcPr>
          <w:p w14:paraId="35B5A431">
            <w:pPr>
              <w:jc w:val="center"/>
              <w:rPr>
                <w:rFonts w:ascii="宋体" w:hAnsi="宋体" w:cs="宋体"/>
                <w:color w:val="000000"/>
                <w:kern w:val="0"/>
                <w:szCs w:val="21"/>
              </w:rPr>
            </w:pPr>
            <w:r>
              <w:rPr>
                <w:rFonts w:hint="eastAsia" w:ascii="宋体" w:hAnsi="宋体" w:cs="宋体"/>
                <w:color w:val="000000"/>
                <w:kern w:val="0"/>
                <w:szCs w:val="21"/>
              </w:rPr>
              <w:t xml:space="preserve">0.339 </w:t>
            </w:r>
          </w:p>
        </w:tc>
        <w:tc>
          <w:tcPr>
            <w:tcW w:w="1152" w:type="dxa"/>
            <w:tcBorders>
              <w:top w:val="single" w:color="000000" w:sz="4" w:space="0"/>
              <w:left w:val="single" w:color="000000" w:sz="4" w:space="0"/>
              <w:bottom w:val="single" w:color="000000" w:sz="4" w:space="0"/>
              <w:right w:val="single" w:color="000000" w:sz="4" w:space="0"/>
            </w:tcBorders>
            <w:vAlign w:val="center"/>
          </w:tcPr>
          <w:p w14:paraId="25E11556">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69DBB409">
            <w:pPr>
              <w:jc w:val="center"/>
              <w:rPr>
                <w:rFonts w:ascii="宋体" w:hAnsi="宋体" w:cs="宋体"/>
                <w:color w:val="000000"/>
                <w:kern w:val="0"/>
                <w:szCs w:val="21"/>
              </w:rPr>
            </w:pPr>
            <w:r>
              <w:rPr>
                <w:rFonts w:hint="eastAsia" w:ascii="宋体" w:hAnsi="宋体" w:cs="宋体"/>
                <w:color w:val="000000"/>
                <w:kern w:val="0"/>
                <w:szCs w:val="21"/>
              </w:rPr>
              <w:t xml:space="preserve">-0.315 </w:t>
            </w:r>
          </w:p>
        </w:tc>
        <w:tc>
          <w:tcPr>
            <w:tcW w:w="1136" w:type="dxa"/>
            <w:tcBorders>
              <w:top w:val="single" w:color="000000" w:sz="4" w:space="0"/>
              <w:left w:val="single" w:color="000000" w:sz="4" w:space="0"/>
              <w:bottom w:val="single" w:color="000000" w:sz="4" w:space="0"/>
              <w:right w:val="single" w:color="000000" w:sz="4" w:space="0"/>
            </w:tcBorders>
            <w:vAlign w:val="center"/>
          </w:tcPr>
          <w:p w14:paraId="51EC4DE0">
            <w:pPr>
              <w:jc w:val="center"/>
              <w:rPr>
                <w:rFonts w:ascii="宋体" w:hAnsi="宋体" w:cs="宋体"/>
                <w:color w:val="000000"/>
                <w:kern w:val="0"/>
                <w:szCs w:val="21"/>
              </w:rPr>
            </w:pPr>
            <w:r>
              <w:rPr>
                <w:rFonts w:hint="eastAsia" w:ascii="宋体" w:hAnsi="宋体" w:cs="宋体"/>
                <w:color w:val="000000"/>
                <w:kern w:val="0"/>
                <w:szCs w:val="21"/>
              </w:rPr>
              <w:t xml:space="preserve">-0.630 </w:t>
            </w:r>
          </w:p>
        </w:tc>
      </w:tr>
      <w:tr w14:paraId="11FDCA49">
        <w:tblPrEx>
          <w:tblCellMar>
            <w:top w:w="15" w:type="dxa"/>
            <w:left w:w="15" w:type="dxa"/>
            <w:bottom w:w="15" w:type="dxa"/>
            <w:right w:w="15" w:type="dxa"/>
          </w:tblCellMar>
        </w:tblPrEx>
        <w:trPr>
          <w:trHeight w:val="321" w:hRule="atLeast"/>
        </w:trPr>
        <w:tc>
          <w:tcPr>
            <w:tcW w:w="1922" w:type="dxa"/>
            <w:tcBorders>
              <w:top w:val="single" w:color="000000" w:sz="4" w:space="0"/>
              <w:left w:val="single" w:color="000000" w:sz="4" w:space="0"/>
              <w:bottom w:val="single" w:color="000000" w:sz="4" w:space="0"/>
              <w:right w:val="single" w:color="000000" w:sz="4" w:space="0"/>
            </w:tcBorders>
          </w:tcPr>
          <w:p w14:paraId="6ADFA16D">
            <w:pPr>
              <w:jc w:val="center"/>
              <w:rPr>
                <w:rFonts w:ascii="宋体" w:hAnsi="宋体" w:cs="宋体"/>
                <w:color w:val="000000"/>
                <w:kern w:val="0"/>
                <w:szCs w:val="21"/>
              </w:rPr>
            </w:pPr>
            <w:r>
              <w:rPr>
                <w:rFonts w:hint="eastAsia" w:ascii="宋体" w:hAnsi="宋体" w:cs="宋体"/>
                <w:color w:val="000000"/>
                <w:kern w:val="0"/>
                <w:szCs w:val="21"/>
              </w:rPr>
              <w:t>灌溉保证率</w:t>
            </w:r>
          </w:p>
        </w:tc>
        <w:tc>
          <w:tcPr>
            <w:tcW w:w="963" w:type="dxa"/>
            <w:tcBorders>
              <w:top w:val="single" w:color="000000" w:sz="4" w:space="0"/>
              <w:left w:val="single" w:color="000000" w:sz="4" w:space="0"/>
              <w:bottom w:val="single" w:color="000000" w:sz="4" w:space="0"/>
              <w:right w:val="single" w:color="000000" w:sz="4" w:space="0"/>
            </w:tcBorders>
            <w:vAlign w:val="center"/>
          </w:tcPr>
          <w:p w14:paraId="57964DA1">
            <w:pPr>
              <w:jc w:val="center"/>
              <w:rPr>
                <w:rFonts w:ascii="宋体" w:hAnsi="宋体" w:cs="宋体"/>
                <w:color w:val="000000"/>
                <w:kern w:val="0"/>
                <w:szCs w:val="21"/>
              </w:rPr>
            </w:pPr>
            <w:r>
              <w:rPr>
                <w:rFonts w:hint="eastAsia" w:ascii="宋体" w:hAnsi="宋体" w:cs="宋体"/>
                <w:color w:val="000000"/>
                <w:kern w:val="0"/>
                <w:szCs w:val="21"/>
              </w:rPr>
              <w:t xml:space="preserve">0.060 </w:t>
            </w:r>
          </w:p>
        </w:tc>
        <w:tc>
          <w:tcPr>
            <w:tcW w:w="962" w:type="dxa"/>
            <w:tcBorders>
              <w:top w:val="single" w:color="000000" w:sz="4" w:space="0"/>
              <w:left w:val="single" w:color="000000" w:sz="4" w:space="0"/>
              <w:bottom w:val="single" w:color="000000" w:sz="4" w:space="0"/>
              <w:right w:val="single" w:color="000000" w:sz="4" w:space="0"/>
            </w:tcBorders>
            <w:vAlign w:val="center"/>
          </w:tcPr>
          <w:p w14:paraId="4E1BAA59">
            <w:pPr>
              <w:jc w:val="center"/>
              <w:rPr>
                <w:rFonts w:ascii="宋体" w:hAnsi="宋体" w:cs="宋体"/>
                <w:color w:val="000000"/>
                <w:kern w:val="0"/>
                <w:szCs w:val="21"/>
              </w:rPr>
            </w:pPr>
            <w:r>
              <w:rPr>
                <w:rFonts w:hint="eastAsia" w:ascii="宋体" w:hAnsi="宋体" w:cs="宋体"/>
                <w:color w:val="000000"/>
                <w:kern w:val="0"/>
                <w:szCs w:val="21"/>
              </w:rPr>
              <w:t xml:space="preserve">0.678 </w:t>
            </w:r>
          </w:p>
        </w:tc>
        <w:tc>
          <w:tcPr>
            <w:tcW w:w="1096" w:type="dxa"/>
            <w:tcBorders>
              <w:top w:val="single" w:color="000000" w:sz="4" w:space="0"/>
              <w:left w:val="single" w:color="000000" w:sz="4" w:space="0"/>
              <w:bottom w:val="single" w:color="000000" w:sz="4" w:space="0"/>
              <w:right w:val="single" w:color="000000" w:sz="4" w:space="0"/>
            </w:tcBorders>
            <w:vAlign w:val="center"/>
          </w:tcPr>
          <w:p w14:paraId="6BFC3895">
            <w:pPr>
              <w:jc w:val="center"/>
              <w:rPr>
                <w:rFonts w:ascii="宋体" w:hAnsi="宋体" w:cs="宋体"/>
                <w:color w:val="000000"/>
                <w:kern w:val="0"/>
                <w:szCs w:val="21"/>
              </w:rPr>
            </w:pPr>
            <w:r>
              <w:rPr>
                <w:rFonts w:hint="eastAsia" w:ascii="宋体" w:hAnsi="宋体" w:cs="宋体"/>
                <w:color w:val="000000"/>
                <w:kern w:val="0"/>
                <w:szCs w:val="21"/>
              </w:rPr>
              <w:t xml:space="preserve">0.339 </w:t>
            </w:r>
          </w:p>
        </w:tc>
        <w:tc>
          <w:tcPr>
            <w:tcW w:w="1152" w:type="dxa"/>
            <w:tcBorders>
              <w:top w:val="single" w:color="000000" w:sz="4" w:space="0"/>
              <w:left w:val="single" w:color="000000" w:sz="4" w:space="0"/>
              <w:bottom w:val="single" w:color="000000" w:sz="4" w:space="0"/>
              <w:right w:val="single" w:color="000000" w:sz="4" w:space="0"/>
            </w:tcBorders>
            <w:vAlign w:val="center"/>
          </w:tcPr>
          <w:p w14:paraId="16F14178">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0EF1BBE3">
            <w:pPr>
              <w:jc w:val="center"/>
              <w:rPr>
                <w:rFonts w:ascii="宋体" w:hAnsi="宋体" w:cs="宋体"/>
                <w:color w:val="000000"/>
                <w:kern w:val="0"/>
                <w:szCs w:val="21"/>
              </w:rPr>
            </w:pPr>
            <w:r>
              <w:rPr>
                <w:rFonts w:hint="eastAsia" w:ascii="宋体" w:hAnsi="宋体" w:cs="宋体"/>
                <w:color w:val="000000"/>
                <w:kern w:val="0"/>
                <w:szCs w:val="21"/>
              </w:rPr>
              <w:t xml:space="preserve">-0.315 </w:t>
            </w:r>
          </w:p>
        </w:tc>
        <w:tc>
          <w:tcPr>
            <w:tcW w:w="1136" w:type="dxa"/>
            <w:tcBorders>
              <w:top w:val="single" w:color="000000" w:sz="4" w:space="0"/>
              <w:left w:val="single" w:color="000000" w:sz="4" w:space="0"/>
              <w:bottom w:val="single" w:color="000000" w:sz="4" w:space="0"/>
              <w:right w:val="single" w:color="000000" w:sz="4" w:space="0"/>
            </w:tcBorders>
            <w:vAlign w:val="center"/>
          </w:tcPr>
          <w:p w14:paraId="0344CF98">
            <w:pPr>
              <w:jc w:val="center"/>
              <w:rPr>
                <w:rFonts w:ascii="宋体" w:hAnsi="宋体" w:cs="宋体"/>
                <w:color w:val="000000"/>
                <w:kern w:val="0"/>
                <w:szCs w:val="21"/>
              </w:rPr>
            </w:pPr>
            <w:r>
              <w:rPr>
                <w:rFonts w:hint="eastAsia" w:ascii="宋体" w:hAnsi="宋体" w:cs="宋体"/>
                <w:color w:val="000000"/>
                <w:kern w:val="0"/>
                <w:szCs w:val="21"/>
              </w:rPr>
              <w:t xml:space="preserve">-0.630 </w:t>
            </w:r>
          </w:p>
        </w:tc>
      </w:tr>
      <w:tr w14:paraId="01C4F07A">
        <w:tblPrEx>
          <w:tblCellMar>
            <w:top w:w="15" w:type="dxa"/>
            <w:left w:w="15" w:type="dxa"/>
            <w:bottom w:w="15" w:type="dxa"/>
            <w:right w:w="15" w:type="dxa"/>
          </w:tblCellMar>
        </w:tblPrEx>
        <w:trPr>
          <w:trHeight w:val="254" w:hRule="atLeast"/>
        </w:trPr>
        <w:tc>
          <w:tcPr>
            <w:tcW w:w="1922" w:type="dxa"/>
            <w:tcBorders>
              <w:top w:val="single" w:color="000000" w:sz="4" w:space="0"/>
              <w:left w:val="single" w:color="000000" w:sz="4" w:space="0"/>
              <w:bottom w:val="single" w:color="000000" w:sz="4" w:space="0"/>
              <w:right w:val="single" w:color="000000" w:sz="4" w:space="0"/>
            </w:tcBorders>
          </w:tcPr>
          <w:p w14:paraId="2B0D38D9">
            <w:pPr>
              <w:jc w:val="center"/>
              <w:rPr>
                <w:rFonts w:ascii="宋体" w:hAnsi="宋体" w:cs="宋体"/>
                <w:color w:val="000000"/>
                <w:kern w:val="0"/>
                <w:szCs w:val="21"/>
              </w:rPr>
            </w:pPr>
            <w:r>
              <w:rPr>
                <w:rFonts w:hint="eastAsia" w:ascii="宋体" w:hAnsi="宋体" w:cs="宋体"/>
                <w:color w:val="000000"/>
                <w:kern w:val="0"/>
                <w:szCs w:val="21"/>
              </w:rPr>
              <w:t>亩均资金投入</w:t>
            </w:r>
          </w:p>
        </w:tc>
        <w:tc>
          <w:tcPr>
            <w:tcW w:w="963" w:type="dxa"/>
            <w:tcBorders>
              <w:top w:val="single" w:color="000000" w:sz="4" w:space="0"/>
              <w:left w:val="single" w:color="000000" w:sz="4" w:space="0"/>
              <w:bottom w:val="single" w:color="000000" w:sz="4" w:space="0"/>
              <w:right w:val="single" w:color="000000" w:sz="4" w:space="0"/>
            </w:tcBorders>
            <w:vAlign w:val="center"/>
          </w:tcPr>
          <w:p w14:paraId="5E17960C">
            <w:pPr>
              <w:jc w:val="center"/>
              <w:rPr>
                <w:rFonts w:ascii="宋体" w:hAnsi="宋体" w:cs="宋体"/>
                <w:color w:val="000000"/>
                <w:kern w:val="0"/>
                <w:szCs w:val="21"/>
              </w:rPr>
            </w:pPr>
            <w:r>
              <w:rPr>
                <w:rFonts w:hint="eastAsia" w:ascii="宋体" w:hAnsi="宋体" w:cs="宋体"/>
                <w:color w:val="000000"/>
                <w:kern w:val="0"/>
                <w:szCs w:val="21"/>
              </w:rPr>
              <w:t xml:space="preserve">0.060 </w:t>
            </w:r>
          </w:p>
        </w:tc>
        <w:tc>
          <w:tcPr>
            <w:tcW w:w="962" w:type="dxa"/>
            <w:tcBorders>
              <w:top w:val="single" w:color="000000" w:sz="4" w:space="0"/>
              <w:left w:val="single" w:color="000000" w:sz="4" w:space="0"/>
              <w:bottom w:val="single" w:color="000000" w:sz="4" w:space="0"/>
              <w:right w:val="single" w:color="000000" w:sz="4" w:space="0"/>
            </w:tcBorders>
            <w:vAlign w:val="center"/>
          </w:tcPr>
          <w:p w14:paraId="2861DA44">
            <w:pPr>
              <w:jc w:val="center"/>
              <w:rPr>
                <w:rFonts w:ascii="宋体" w:hAnsi="宋体" w:cs="宋体"/>
                <w:color w:val="000000"/>
                <w:kern w:val="0"/>
                <w:szCs w:val="21"/>
              </w:rPr>
            </w:pPr>
            <w:r>
              <w:rPr>
                <w:rFonts w:hint="eastAsia" w:ascii="宋体" w:hAnsi="宋体" w:cs="宋体"/>
                <w:color w:val="000000"/>
                <w:kern w:val="0"/>
                <w:szCs w:val="21"/>
              </w:rPr>
              <w:t xml:space="preserve">0.678 </w:t>
            </w:r>
          </w:p>
        </w:tc>
        <w:tc>
          <w:tcPr>
            <w:tcW w:w="1096" w:type="dxa"/>
            <w:tcBorders>
              <w:top w:val="single" w:color="000000" w:sz="4" w:space="0"/>
              <w:left w:val="single" w:color="000000" w:sz="4" w:space="0"/>
              <w:bottom w:val="single" w:color="000000" w:sz="4" w:space="0"/>
              <w:right w:val="single" w:color="000000" w:sz="4" w:space="0"/>
            </w:tcBorders>
            <w:vAlign w:val="center"/>
          </w:tcPr>
          <w:p w14:paraId="2565DBA5">
            <w:pPr>
              <w:jc w:val="center"/>
              <w:rPr>
                <w:rFonts w:ascii="宋体" w:hAnsi="宋体" w:cs="宋体"/>
                <w:color w:val="000000"/>
                <w:kern w:val="0"/>
                <w:szCs w:val="21"/>
              </w:rPr>
            </w:pPr>
            <w:r>
              <w:rPr>
                <w:rFonts w:hint="eastAsia" w:ascii="宋体" w:hAnsi="宋体" w:cs="宋体"/>
                <w:color w:val="000000"/>
                <w:kern w:val="0"/>
                <w:szCs w:val="21"/>
              </w:rPr>
              <w:t xml:space="preserve">0.339 </w:t>
            </w:r>
          </w:p>
        </w:tc>
        <w:tc>
          <w:tcPr>
            <w:tcW w:w="1152" w:type="dxa"/>
            <w:tcBorders>
              <w:top w:val="single" w:color="000000" w:sz="4" w:space="0"/>
              <w:left w:val="single" w:color="000000" w:sz="4" w:space="0"/>
              <w:bottom w:val="single" w:color="000000" w:sz="4" w:space="0"/>
              <w:right w:val="single" w:color="000000" w:sz="4" w:space="0"/>
            </w:tcBorders>
            <w:vAlign w:val="center"/>
          </w:tcPr>
          <w:p w14:paraId="56D426B6">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7F7359FE">
            <w:pPr>
              <w:jc w:val="center"/>
              <w:rPr>
                <w:rFonts w:ascii="宋体" w:hAnsi="宋体" w:cs="宋体"/>
                <w:color w:val="000000"/>
                <w:kern w:val="0"/>
                <w:szCs w:val="21"/>
              </w:rPr>
            </w:pPr>
            <w:r>
              <w:rPr>
                <w:rFonts w:hint="eastAsia" w:ascii="宋体" w:hAnsi="宋体" w:cs="宋体"/>
                <w:color w:val="000000"/>
                <w:kern w:val="0"/>
                <w:szCs w:val="21"/>
              </w:rPr>
              <w:t xml:space="preserve">-0.315 </w:t>
            </w:r>
          </w:p>
        </w:tc>
        <w:tc>
          <w:tcPr>
            <w:tcW w:w="1136" w:type="dxa"/>
            <w:tcBorders>
              <w:top w:val="single" w:color="000000" w:sz="4" w:space="0"/>
              <w:left w:val="single" w:color="000000" w:sz="4" w:space="0"/>
              <w:bottom w:val="single" w:color="000000" w:sz="4" w:space="0"/>
              <w:right w:val="single" w:color="000000" w:sz="4" w:space="0"/>
            </w:tcBorders>
            <w:vAlign w:val="center"/>
          </w:tcPr>
          <w:p w14:paraId="60D766CA">
            <w:pPr>
              <w:jc w:val="center"/>
              <w:rPr>
                <w:rFonts w:ascii="宋体" w:hAnsi="宋体" w:cs="宋体"/>
                <w:color w:val="000000"/>
                <w:kern w:val="0"/>
                <w:szCs w:val="21"/>
              </w:rPr>
            </w:pPr>
            <w:r>
              <w:rPr>
                <w:rFonts w:hint="eastAsia" w:ascii="宋体" w:hAnsi="宋体" w:cs="宋体"/>
                <w:color w:val="000000"/>
                <w:kern w:val="0"/>
                <w:szCs w:val="21"/>
              </w:rPr>
              <w:t xml:space="preserve">-0.630 </w:t>
            </w:r>
          </w:p>
        </w:tc>
      </w:tr>
      <w:tr w14:paraId="2592DCDF">
        <w:tblPrEx>
          <w:tblCellMar>
            <w:top w:w="15" w:type="dxa"/>
            <w:left w:w="15" w:type="dxa"/>
            <w:bottom w:w="15" w:type="dxa"/>
            <w:right w:w="15" w:type="dxa"/>
          </w:tblCellMar>
        </w:tblPrEx>
        <w:trPr>
          <w:trHeight w:val="317" w:hRule="atLeast"/>
        </w:trPr>
        <w:tc>
          <w:tcPr>
            <w:tcW w:w="1922" w:type="dxa"/>
            <w:tcBorders>
              <w:top w:val="single" w:color="000000" w:sz="4" w:space="0"/>
              <w:left w:val="single" w:color="000000" w:sz="4" w:space="0"/>
              <w:bottom w:val="single" w:color="000000" w:sz="4" w:space="0"/>
              <w:right w:val="single" w:color="000000" w:sz="4" w:space="0"/>
            </w:tcBorders>
          </w:tcPr>
          <w:p w14:paraId="5FF38C9E">
            <w:pPr>
              <w:jc w:val="center"/>
              <w:rPr>
                <w:rFonts w:ascii="宋体" w:hAnsi="宋体" w:cs="宋体"/>
                <w:color w:val="000000"/>
                <w:kern w:val="0"/>
                <w:szCs w:val="21"/>
              </w:rPr>
            </w:pPr>
            <w:r>
              <w:rPr>
                <w:rFonts w:hint="eastAsia" w:ascii="宋体" w:hAnsi="宋体" w:cs="宋体"/>
                <w:color w:val="000000"/>
                <w:kern w:val="0"/>
                <w:szCs w:val="21"/>
              </w:rPr>
              <w:t>亩均纯收益</w:t>
            </w:r>
          </w:p>
        </w:tc>
        <w:tc>
          <w:tcPr>
            <w:tcW w:w="963" w:type="dxa"/>
            <w:tcBorders>
              <w:top w:val="single" w:color="000000" w:sz="4" w:space="0"/>
              <w:left w:val="single" w:color="000000" w:sz="4" w:space="0"/>
              <w:bottom w:val="single" w:color="000000" w:sz="4" w:space="0"/>
              <w:right w:val="single" w:color="000000" w:sz="4" w:space="0"/>
            </w:tcBorders>
            <w:vAlign w:val="center"/>
          </w:tcPr>
          <w:p w14:paraId="452FD4D4">
            <w:pPr>
              <w:jc w:val="center"/>
              <w:rPr>
                <w:rFonts w:ascii="宋体" w:hAnsi="宋体" w:cs="宋体"/>
                <w:color w:val="000000"/>
                <w:kern w:val="0"/>
                <w:szCs w:val="21"/>
              </w:rPr>
            </w:pPr>
            <w:r>
              <w:rPr>
                <w:rFonts w:hint="eastAsia" w:ascii="宋体" w:hAnsi="宋体" w:cs="宋体"/>
                <w:color w:val="000000"/>
                <w:kern w:val="0"/>
                <w:szCs w:val="21"/>
              </w:rPr>
              <w:t xml:space="preserve">0.060 </w:t>
            </w:r>
          </w:p>
        </w:tc>
        <w:tc>
          <w:tcPr>
            <w:tcW w:w="962" w:type="dxa"/>
            <w:tcBorders>
              <w:top w:val="single" w:color="000000" w:sz="4" w:space="0"/>
              <w:left w:val="single" w:color="000000" w:sz="4" w:space="0"/>
              <w:bottom w:val="single" w:color="000000" w:sz="4" w:space="0"/>
              <w:right w:val="single" w:color="000000" w:sz="4" w:space="0"/>
            </w:tcBorders>
            <w:vAlign w:val="center"/>
          </w:tcPr>
          <w:p w14:paraId="71D1E853">
            <w:pPr>
              <w:jc w:val="center"/>
              <w:rPr>
                <w:rFonts w:ascii="宋体" w:hAnsi="宋体" w:cs="宋体"/>
                <w:color w:val="000000"/>
                <w:kern w:val="0"/>
                <w:szCs w:val="21"/>
              </w:rPr>
            </w:pPr>
            <w:r>
              <w:rPr>
                <w:rFonts w:hint="eastAsia" w:ascii="宋体" w:hAnsi="宋体" w:cs="宋体"/>
                <w:color w:val="000000"/>
                <w:kern w:val="0"/>
                <w:szCs w:val="21"/>
              </w:rPr>
              <w:t xml:space="preserve">0.678 </w:t>
            </w:r>
          </w:p>
        </w:tc>
        <w:tc>
          <w:tcPr>
            <w:tcW w:w="1096" w:type="dxa"/>
            <w:tcBorders>
              <w:top w:val="single" w:color="000000" w:sz="4" w:space="0"/>
              <w:left w:val="single" w:color="000000" w:sz="4" w:space="0"/>
              <w:bottom w:val="single" w:color="000000" w:sz="4" w:space="0"/>
              <w:right w:val="single" w:color="000000" w:sz="4" w:space="0"/>
            </w:tcBorders>
            <w:vAlign w:val="center"/>
          </w:tcPr>
          <w:p w14:paraId="135A43F1">
            <w:pPr>
              <w:jc w:val="center"/>
              <w:rPr>
                <w:rFonts w:ascii="宋体" w:hAnsi="宋体" w:cs="宋体"/>
                <w:color w:val="000000"/>
                <w:kern w:val="0"/>
                <w:szCs w:val="21"/>
              </w:rPr>
            </w:pPr>
            <w:r>
              <w:rPr>
                <w:rFonts w:hint="eastAsia" w:ascii="宋体" w:hAnsi="宋体" w:cs="宋体"/>
                <w:color w:val="000000"/>
                <w:kern w:val="0"/>
                <w:szCs w:val="21"/>
              </w:rPr>
              <w:t xml:space="preserve">0.339 </w:t>
            </w:r>
          </w:p>
        </w:tc>
        <w:tc>
          <w:tcPr>
            <w:tcW w:w="1152" w:type="dxa"/>
            <w:tcBorders>
              <w:top w:val="single" w:color="000000" w:sz="4" w:space="0"/>
              <w:left w:val="single" w:color="000000" w:sz="4" w:space="0"/>
              <w:bottom w:val="single" w:color="000000" w:sz="4" w:space="0"/>
              <w:right w:val="single" w:color="000000" w:sz="4" w:space="0"/>
            </w:tcBorders>
            <w:vAlign w:val="center"/>
          </w:tcPr>
          <w:p w14:paraId="0DCAFFD2">
            <w:pPr>
              <w:jc w:val="center"/>
              <w:rPr>
                <w:rFonts w:ascii="宋体" w:hAnsi="宋体" w:cs="宋体"/>
                <w:color w:val="000000"/>
                <w:kern w:val="0"/>
                <w:szCs w:val="21"/>
              </w:rPr>
            </w:pPr>
            <w:r>
              <w:rPr>
                <w:rFonts w:hint="eastAsia" w:ascii="宋体" w:hAnsi="宋体" w:cs="宋体"/>
                <w:color w:val="000000"/>
                <w:kern w:val="0"/>
                <w:szCs w:val="21"/>
              </w:rPr>
              <w:t xml:space="preserve">0.000 </w:t>
            </w:r>
          </w:p>
        </w:tc>
        <w:tc>
          <w:tcPr>
            <w:tcW w:w="1271" w:type="dxa"/>
            <w:tcBorders>
              <w:top w:val="single" w:color="000000" w:sz="4" w:space="0"/>
              <w:left w:val="single" w:color="000000" w:sz="4" w:space="0"/>
              <w:bottom w:val="single" w:color="000000" w:sz="4" w:space="0"/>
              <w:right w:val="single" w:color="000000" w:sz="4" w:space="0"/>
            </w:tcBorders>
            <w:vAlign w:val="center"/>
          </w:tcPr>
          <w:p w14:paraId="137A1717">
            <w:pPr>
              <w:jc w:val="center"/>
              <w:rPr>
                <w:rFonts w:ascii="宋体" w:hAnsi="宋体" w:cs="宋体"/>
                <w:color w:val="000000"/>
                <w:kern w:val="0"/>
                <w:szCs w:val="21"/>
              </w:rPr>
            </w:pPr>
            <w:r>
              <w:rPr>
                <w:rFonts w:hint="eastAsia" w:ascii="宋体" w:hAnsi="宋体" w:cs="宋体"/>
                <w:color w:val="000000"/>
                <w:kern w:val="0"/>
                <w:szCs w:val="21"/>
              </w:rPr>
              <w:t xml:space="preserve">-0.315 </w:t>
            </w:r>
          </w:p>
        </w:tc>
        <w:tc>
          <w:tcPr>
            <w:tcW w:w="1136" w:type="dxa"/>
            <w:tcBorders>
              <w:top w:val="single" w:color="000000" w:sz="4" w:space="0"/>
              <w:left w:val="single" w:color="000000" w:sz="4" w:space="0"/>
              <w:bottom w:val="single" w:color="000000" w:sz="4" w:space="0"/>
              <w:right w:val="single" w:color="000000" w:sz="4" w:space="0"/>
            </w:tcBorders>
            <w:vAlign w:val="center"/>
          </w:tcPr>
          <w:p w14:paraId="1650D796">
            <w:pPr>
              <w:jc w:val="center"/>
              <w:rPr>
                <w:rFonts w:ascii="宋体" w:hAnsi="宋体" w:cs="宋体"/>
                <w:color w:val="000000"/>
                <w:kern w:val="0"/>
                <w:szCs w:val="21"/>
              </w:rPr>
            </w:pPr>
            <w:r>
              <w:rPr>
                <w:rFonts w:hint="eastAsia" w:ascii="宋体" w:hAnsi="宋体" w:cs="宋体"/>
                <w:color w:val="000000"/>
                <w:kern w:val="0"/>
                <w:szCs w:val="21"/>
              </w:rPr>
              <w:t xml:space="preserve">-0.630 </w:t>
            </w:r>
          </w:p>
        </w:tc>
      </w:tr>
    </w:tbl>
    <w:p w14:paraId="2E2163E6">
      <w:pPr>
        <w:pStyle w:val="180"/>
        <w:spacing w:before="156" w:beforeLines="50"/>
        <w:ind w:firstLine="480"/>
      </w:pPr>
      <w:r>
        <w:rPr>
          <w:rFonts w:hint="eastAsia"/>
        </w:rPr>
        <w:t>（2）因素修正系数及指标说明表的编制</w:t>
      </w:r>
    </w:p>
    <w:p w14:paraId="6E33A71F">
      <w:pPr>
        <w:spacing w:line="500" w:lineRule="exact"/>
        <w:ind w:firstLine="480" w:firstLineChars="200"/>
        <w:rPr>
          <w:sz w:val="24"/>
        </w:rPr>
      </w:pPr>
      <w:r>
        <w:rPr>
          <w:rFonts w:hint="eastAsia"/>
          <w:sz w:val="24"/>
        </w:rPr>
        <w:t>根据基准低价修正幅度的计算结果，在按上述公式计算因素修正幅度值的基础上，</w:t>
      </w:r>
      <w:r>
        <w:rPr>
          <w:sz w:val="24"/>
        </w:rPr>
        <w:t>按优、较优、一般、较劣、劣</w:t>
      </w:r>
      <w:r>
        <w:rPr>
          <w:rFonts w:hint="eastAsia"/>
          <w:sz w:val="24"/>
        </w:rPr>
        <w:t>等5个层次设定修正幅度值。利用土地定级中各影响因素的评价结果，在进行统计分析的基础上，编制影响因素修正系数条件指标表，结果见表5-5，5-6。</w:t>
      </w:r>
    </w:p>
    <w:p w14:paraId="0C6ACDF1">
      <w:pPr>
        <w:spacing w:before="156" w:beforeLines="50"/>
        <w:ind w:firstLine="420"/>
        <w:jc w:val="center"/>
        <w:rPr>
          <w:b/>
          <w:szCs w:val="21"/>
        </w:rPr>
      </w:pPr>
      <w:r>
        <w:rPr>
          <w:rFonts w:hint="eastAsia"/>
          <w:b/>
          <w:szCs w:val="21"/>
        </w:rPr>
        <w:t>5-5 Ⅰ级国有农用地宗地价区域修正因素说明表</w:t>
      </w:r>
    </w:p>
    <w:tbl>
      <w:tblPr>
        <w:tblStyle w:val="39"/>
        <w:tblpPr w:leftFromText="180" w:rightFromText="180" w:vertAnchor="text" w:horzAnchor="margin" w:tblpX="1" w:tblpY="369"/>
        <w:tblW w:w="8336" w:type="dxa"/>
        <w:tblInd w:w="0" w:type="dxa"/>
        <w:tblLayout w:type="fixed"/>
        <w:tblCellMar>
          <w:top w:w="15" w:type="dxa"/>
          <w:left w:w="15" w:type="dxa"/>
          <w:bottom w:w="15" w:type="dxa"/>
          <w:right w:w="15" w:type="dxa"/>
        </w:tblCellMar>
      </w:tblPr>
      <w:tblGrid>
        <w:gridCol w:w="1575"/>
        <w:gridCol w:w="708"/>
        <w:gridCol w:w="1114"/>
        <w:gridCol w:w="1276"/>
        <w:gridCol w:w="1134"/>
        <w:gridCol w:w="1579"/>
        <w:gridCol w:w="950"/>
      </w:tblGrid>
      <w:tr w14:paraId="2582E030">
        <w:tblPrEx>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C94B">
            <w:pPr>
              <w:jc w:val="center"/>
              <w:textAlignment w:val="top"/>
              <w:rPr>
                <w:rFonts w:ascii="宋体" w:hAnsi="宋体" w:cs="宋体"/>
                <w:color w:val="000000"/>
                <w:szCs w:val="21"/>
              </w:rPr>
            </w:pPr>
            <w:r>
              <w:rPr>
                <w:rFonts w:hint="eastAsia" w:ascii="宋体" w:hAnsi="宋体" w:cs="宋体"/>
                <w:color w:val="000000"/>
                <w:kern w:val="0"/>
                <w:szCs w:val="21"/>
              </w:rPr>
              <w:t>定级因子</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556F">
            <w:pPr>
              <w:jc w:val="center"/>
              <w:textAlignment w:val="top"/>
              <w:rPr>
                <w:rFonts w:ascii="宋体" w:hAnsi="宋体" w:cs="宋体"/>
                <w:color w:val="000000"/>
                <w:szCs w:val="21"/>
              </w:rPr>
            </w:pPr>
            <w:r>
              <w:rPr>
                <w:rFonts w:hint="eastAsia" w:ascii="宋体" w:hAnsi="宋体" w:cs="宋体"/>
                <w:color w:val="000000"/>
                <w:kern w:val="0"/>
                <w:szCs w:val="21"/>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0F8C">
            <w:pPr>
              <w:jc w:val="center"/>
              <w:textAlignment w:val="center"/>
              <w:rPr>
                <w:rFonts w:ascii="宋体" w:hAnsi="宋体" w:cs="宋体"/>
                <w:color w:val="000000"/>
                <w:szCs w:val="21"/>
              </w:rPr>
            </w:pPr>
            <w:r>
              <w:rPr>
                <w:rFonts w:hint="eastAsia" w:ascii="宋体" w:hAnsi="宋体" w:cs="宋体"/>
                <w:color w:val="000000"/>
                <w:kern w:val="0"/>
                <w:szCs w:val="21"/>
              </w:rPr>
              <w:t>优</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E053">
            <w:pPr>
              <w:jc w:val="center"/>
              <w:textAlignment w:val="center"/>
              <w:rPr>
                <w:rFonts w:ascii="宋体" w:hAnsi="宋体" w:cs="宋体"/>
                <w:color w:val="000000"/>
                <w:szCs w:val="21"/>
              </w:rPr>
            </w:pPr>
            <w:r>
              <w:rPr>
                <w:rFonts w:hint="eastAsia" w:ascii="宋体" w:hAnsi="宋体" w:cs="宋体"/>
                <w:color w:val="000000"/>
                <w:kern w:val="0"/>
                <w:szCs w:val="21"/>
              </w:rPr>
              <w:t>较优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4D0E">
            <w:pPr>
              <w:jc w:val="center"/>
              <w:textAlignment w:val="center"/>
              <w:rPr>
                <w:rFonts w:ascii="宋体" w:hAnsi="宋体" w:cs="宋体"/>
                <w:color w:val="000000"/>
                <w:szCs w:val="21"/>
              </w:rPr>
            </w:pPr>
            <w:r>
              <w:rPr>
                <w:rFonts w:hint="eastAsia" w:ascii="宋体" w:hAnsi="宋体" w:cs="宋体"/>
                <w:color w:val="000000"/>
                <w:kern w:val="0"/>
                <w:szCs w:val="21"/>
              </w:rPr>
              <w:t>一般</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F0EB">
            <w:pPr>
              <w:jc w:val="center"/>
              <w:textAlignment w:val="center"/>
              <w:rPr>
                <w:rFonts w:ascii="宋体" w:hAnsi="宋体" w:cs="宋体"/>
                <w:color w:val="000000"/>
                <w:szCs w:val="21"/>
              </w:rPr>
            </w:pPr>
            <w:r>
              <w:rPr>
                <w:rFonts w:hint="eastAsia" w:ascii="宋体" w:hAnsi="宋体" w:cs="宋体"/>
                <w:color w:val="000000"/>
                <w:kern w:val="0"/>
                <w:szCs w:val="21"/>
              </w:rPr>
              <w:t>较劣</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68D2">
            <w:pPr>
              <w:jc w:val="center"/>
              <w:textAlignment w:val="center"/>
              <w:rPr>
                <w:rFonts w:ascii="宋体" w:hAnsi="宋体" w:cs="宋体"/>
                <w:color w:val="000000"/>
                <w:szCs w:val="21"/>
              </w:rPr>
            </w:pPr>
            <w:r>
              <w:rPr>
                <w:rFonts w:hint="eastAsia" w:ascii="宋体" w:hAnsi="宋体" w:cs="宋体"/>
                <w:color w:val="000000"/>
                <w:kern w:val="0"/>
                <w:szCs w:val="21"/>
              </w:rPr>
              <w:t>劣</w:t>
            </w:r>
          </w:p>
        </w:tc>
      </w:tr>
      <w:tr w14:paraId="63B84B2E">
        <w:tblPrEx>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038B">
            <w:pPr>
              <w:jc w:val="center"/>
              <w:textAlignment w:val="top"/>
              <w:rPr>
                <w:rFonts w:ascii="宋体" w:hAnsi="宋体" w:cs="宋体"/>
                <w:color w:val="000000"/>
                <w:szCs w:val="21"/>
              </w:rPr>
            </w:pPr>
            <w:r>
              <w:rPr>
                <w:rFonts w:hint="eastAsia" w:ascii="宋体" w:hAnsi="宋体" w:cs="宋体"/>
                <w:color w:val="000000"/>
                <w:kern w:val="0"/>
                <w:szCs w:val="21"/>
              </w:rPr>
              <w:t>地形坡度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E823">
            <w:pPr>
              <w:jc w:val="center"/>
              <w:textAlignment w:val="top"/>
              <w:rPr>
                <w:rFonts w:ascii="宋体" w:hAnsi="宋体" w:cs="宋体"/>
                <w:color w:val="000000"/>
                <w:szCs w:val="21"/>
              </w:rPr>
            </w:pPr>
            <w:r>
              <w:rPr>
                <w:rFonts w:hint="eastAsia" w:ascii="宋体" w:hAnsi="宋体" w:cs="宋体"/>
                <w:color w:val="000000"/>
                <w:kern w:val="0"/>
                <w:szCs w:val="21"/>
              </w:rPr>
              <w:t>0.05</w:t>
            </w:r>
            <w:r>
              <w:rPr>
                <w:rFonts w:ascii="宋体" w:hAnsi="宋体" w:cs="宋体"/>
                <w:color w:val="000000"/>
                <w:kern w:val="0"/>
                <w:szCs w:val="21"/>
              </w:rPr>
              <w:t>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AAB1">
            <w:pPr>
              <w:jc w:val="center"/>
              <w:rPr>
                <w:color w:val="000000"/>
                <w:kern w:val="0"/>
                <w:szCs w:val="21"/>
              </w:rPr>
            </w:pPr>
            <w:r>
              <w:rPr>
                <w:rFonts w:hint="eastAsia"/>
                <w:color w:val="000000"/>
                <w:kern w:val="0"/>
                <w:szCs w:val="21"/>
              </w:rPr>
              <w:t>＜2°</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3269">
            <w:pPr>
              <w:jc w:val="center"/>
              <w:rPr>
                <w:color w:val="000000"/>
                <w:kern w:val="0"/>
                <w:szCs w:val="21"/>
              </w:rPr>
            </w:pPr>
            <w:r>
              <w:rPr>
                <w:color w:val="000000"/>
                <w:szCs w:val="21"/>
              </w:rPr>
              <w:t>2</w:t>
            </w:r>
            <w:r>
              <w:rPr>
                <w:rFonts w:hint="eastAsia"/>
                <w:color w:val="000000"/>
                <w:szCs w:val="21"/>
              </w:rPr>
              <w:t>°</w:t>
            </w:r>
            <w:r>
              <w:rPr>
                <w:color w:val="000000"/>
                <w:szCs w:val="21"/>
              </w:rPr>
              <w:t>-6</w:t>
            </w:r>
            <w:r>
              <w:rPr>
                <w:rFonts w:hint="eastAsia"/>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ACCD">
            <w:pPr>
              <w:jc w:val="center"/>
              <w:rPr>
                <w:color w:val="000000"/>
                <w:kern w:val="0"/>
                <w:szCs w:val="21"/>
              </w:rPr>
            </w:pPr>
            <w:r>
              <w:rPr>
                <w:color w:val="000000"/>
                <w:szCs w:val="21"/>
              </w:rPr>
              <w:t>6</w:t>
            </w:r>
            <w:r>
              <w:rPr>
                <w:rFonts w:hint="eastAsia"/>
                <w:color w:val="000000"/>
                <w:szCs w:val="21"/>
              </w:rPr>
              <w:t>°</w:t>
            </w:r>
            <w:r>
              <w:rPr>
                <w:color w:val="000000"/>
                <w:szCs w:val="21"/>
              </w:rPr>
              <w:t>-15</w:t>
            </w:r>
            <w:r>
              <w:rPr>
                <w:rFonts w:hint="eastAsia"/>
                <w:color w:val="000000"/>
                <w:szCs w:val="21"/>
              </w:rPr>
              <w:t>°</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24F6">
            <w:pPr>
              <w:jc w:val="center"/>
              <w:rPr>
                <w:color w:val="000000"/>
                <w:kern w:val="0"/>
                <w:szCs w:val="21"/>
              </w:rPr>
            </w:pPr>
            <w:r>
              <w:rPr>
                <w:color w:val="000000"/>
                <w:szCs w:val="21"/>
              </w:rPr>
              <w:t>15</w:t>
            </w:r>
            <w:r>
              <w:rPr>
                <w:rFonts w:hint="eastAsia"/>
                <w:color w:val="000000"/>
                <w:szCs w:val="21"/>
              </w:rPr>
              <w:t>°</w:t>
            </w:r>
            <w:r>
              <w:rPr>
                <w:color w:val="000000"/>
                <w:szCs w:val="21"/>
              </w:rPr>
              <w:t>-25</w:t>
            </w:r>
            <w:r>
              <w:rPr>
                <w:rFonts w:hint="eastAsia"/>
                <w:color w:val="000000"/>
                <w:szCs w:val="21"/>
              </w:rPr>
              <w:t>°</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6BB6">
            <w:pPr>
              <w:jc w:val="center"/>
              <w:rPr>
                <w:color w:val="000000"/>
                <w:kern w:val="0"/>
                <w:szCs w:val="21"/>
              </w:rPr>
            </w:pPr>
            <w:r>
              <w:rPr>
                <w:rFonts w:hint="eastAsia"/>
                <w:color w:val="000000"/>
                <w:szCs w:val="21"/>
              </w:rPr>
              <w:t>＞25°</w:t>
            </w:r>
          </w:p>
        </w:tc>
      </w:tr>
      <w:tr w14:paraId="24E34E0F">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FD7E">
            <w:pPr>
              <w:jc w:val="center"/>
              <w:textAlignment w:val="top"/>
              <w:rPr>
                <w:rFonts w:ascii="宋体" w:hAnsi="宋体" w:cs="宋体"/>
                <w:color w:val="000000"/>
                <w:szCs w:val="21"/>
              </w:rPr>
            </w:pPr>
            <w:r>
              <w:rPr>
                <w:rFonts w:hint="eastAsia" w:ascii="宋体" w:hAnsi="宋体" w:cs="宋体"/>
                <w:color w:val="000000"/>
                <w:kern w:val="0"/>
                <w:szCs w:val="21"/>
              </w:rPr>
              <w:t>土壤有机质含量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8098">
            <w:pPr>
              <w:jc w:val="center"/>
              <w:textAlignment w:val="top"/>
              <w:rPr>
                <w:rFonts w:ascii="宋体" w:hAnsi="宋体" w:cs="宋体"/>
                <w:color w:val="000000"/>
                <w:szCs w:val="21"/>
              </w:rPr>
            </w:pPr>
            <w:r>
              <w:rPr>
                <w:rFonts w:hint="eastAsia" w:ascii="宋体" w:hAnsi="宋体" w:cs="宋体"/>
                <w:color w:val="000000"/>
                <w:kern w:val="0"/>
                <w:szCs w:val="21"/>
              </w:rPr>
              <w:t>0.154</w:t>
            </w:r>
            <w:r>
              <w:rPr>
                <w:rFonts w:ascii="宋体" w:hAnsi="宋体" w:cs="宋体"/>
                <w:color w:val="000000"/>
                <w:kern w:val="0"/>
                <w:szCs w:val="21"/>
              </w:rPr>
              <w:t>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9BB2">
            <w:pPr>
              <w:jc w:val="center"/>
              <w:rPr>
                <w:color w:val="000000"/>
                <w:kern w:val="0"/>
                <w:szCs w:val="21"/>
              </w:rPr>
            </w:pPr>
            <w:r>
              <w:rPr>
                <w:rFonts w:hint="eastAsia"/>
                <w:color w:val="000000"/>
                <w:kern w:val="0"/>
                <w:szCs w:val="21"/>
              </w:rPr>
              <w:t>≥4</w:t>
            </w:r>
            <w:r>
              <w:rPr>
                <w:color w:val="000000"/>
                <w:kern w:val="0"/>
                <w:szCs w:val="21"/>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B058">
            <w:pPr>
              <w:jc w:val="center"/>
              <w:rPr>
                <w:color w:val="000000"/>
                <w:kern w:val="0"/>
                <w:szCs w:val="21"/>
              </w:rPr>
            </w:pPr>
            <w:r>
              <w:rPr>
                <w:color w:val="000000"/>
                <w:szCs w:val="21"/>
              </w:rPr>
              <w:t>40-30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26B9">
            <w:pPr>
              <w:jc w:val="center"/>
              <w:rPr>
                <w:color w:val="000000"/>
                <w:kern w:val="0"/>
                <w:szCs w:val="21"/>
              </w:rPr>
            </w:pPr>
            <w:r>
              <w:rPr>
                <w:color w:val="000000"/>
                <w:szCs w:val="21"/>
              </w:rPr>
              <w:t>30-20</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8A0D">
            <w:pPr>
              <w:jc w:val="center"/>
              <w:rPr>
                <w:color w:val="000000"/>
                <w:kern w:val="0"/>
                <w:szCs w:val="21"/>
              </w:rPr>
            </w:pPr>
            <w:r>
              <w:rPr>
                <w:color w:val="000000"/>
                <w:szCs w:val="21"/>
              </w:rPr>
              <w:t>20-10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02F85">
            <w:pPr>
              <w:jc w:val="center"/>
              <w:rPr>
                <w:color w:val="000000"/>
                <w:kern w:val="0"/>
                <w:szCs w:val="21"/>
              </w:rPr>
            </w:pPr>
            <w:r>
              <w:rPr>
                <w:rFonts w:hint="eastAsia"/>
                <w:color w:val="000000"/>
                <w:szCs w:val="21"/>
              </w:rPr>
              <w:t>＜10</w:t>
            </w:r>
          </w:p>
        </w:tc>
      </w:tr>
      <w:tr w14:paraId="1DF4276B">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AB9F">
            <w:pPr>
              <w:jc w:val="center"/>
              <w:textAlignment w:val="top"/>
              <w:rPr>
                <w:rFonts w:ascii="宋体" w:hAnsi="宋体" w:cs="宋体"/>
                <w:color w:val="000000"/>
                <w:szCs w:val="21"/>
              </w:rPr>
            </w:pPr>
            <w:r>
              <w:rPr>
                <w:rFonts w:hint="eastAsia" w:ascii="宋体" w:hAnsi="宋体" w:cs="宋体"/>
                <w:color w:val="000000"/>
                <w:kern w:val="0"/>
                <w:szCs w:val="21"/>
              </w:rPr>
              <w:t>土壤剖面构型</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D030">
            <w:pPr>
              <w:jc w:val="center"/>
              <w:textAlignment w:val="top"/>
              <w:rPr>
                <w:rFonts w:ascii="宋体" w:hAnsi="宋体" w:cs="宋体"/>
                <w:color w:val="000000"/>
                <w:szCs w:val="21"/>
              </w:rPr>
            </w:pPr>
            <w:r>
              <w:rPr>
                <w:rFonts w:hint="eastAsia" w:ascii="宋体" w:hAnsi="宋体" w:cs="宋体"/>
                <w:color w:val="000000"/>
                <w:kern w:val="0"/>
                <w:szCs w:val="21"/>
              </w:rPr>
              <w:t>0.</w:t>
            </w:r>
            <w:r>
              <w:rPr>
                <w:rFonts w:ascii="宋体" w:hAnsi="宋体" w:cs="宋体"/>
                <w:color w:val="000000"/>
                <w:kern w:val="0"/>
                <w:szCs w:val="21"/>
              </w:rPr>
              <w:t>1210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E4A0">
            <w:pPr>
              <w:jc w:val="center"/>
              <w:textAlignment w:val="center"/>
              <w:rPr>
                <w:color w:val="000000"/>
                <w:kern w:val="0"/>
                <w:szCs w:val="21"/>
              </w:rPr>
            </w:pPr>
            <w:r>
              <w:rPr>
                <w:rFonts w:hint="eastAsia"/>
                <w:color w:val="000000"/>
                <w:kern w:val="0"/>
                <w:szCs w:val="21"/>
              </w:rPr>
              <w:t>通体壤</w:t>
            </w:r>
          </w:p>
          <w:p w14:paraId="601D843A">
            <w:pPr>
              <w:jc w:val="center"/>
              <w:textAlignment w:val="center"/>
              <w:rPr>
                <w:rFonts w:ascii="宋体" w:hAnsi="宋体" w:cs="宋体"/>
                <w:color w:val="000000"/>
                <w:szCs w:val="21"/>
              </w:rPr>
            </w:pPr>
            <w:r>
              <w:rPr>
                <w:color w:val="000000"/>
                <w:szCs w:val="21"/>
              </w:rPr>
              <w:t>壤沙壤</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BDDB">
            <w:pPr>
              <w:jc w:val="center"/>
              <w:textAlignment w:val="center"/>
              <w:rPr>
                <w:color w:val="000000"/>
                <w:szCs w:val="21"/>
              </w:rPr>
            </w:pPr>
            <w:r>
              <w:rPr>
                <w:rFonts w:hint="eastAsia"/>
                <w:color w:val="000000"/>
                <w:szCs w:val="21"/>
              </w:rPr>
              <w:t>壤粘壤</w:t>
            </w:r>
          </w:p>
          <w:p w14:paraId="024C395A">
            <w:pPr>
              <w:jc w:val="center"/>
              <w:rPr>
                <w:color w:val="000000"/>
                <w:szCs w:val="21"/>
              </w:rPr>
            </w:pPr>
            <w:r>
              <w:rPr>
                <w:rFonts w:hint="eastAsia"/>
                <w:color w:val="000000"/>
                <w:szCs w:val="21"/>
              </w:rPr>
              <w:t>壤粘粘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E55F">
            <w:pPr>
              <w:jc w:val="center"/>
              <w:textAlignment w:val="center"/>
              <w:rPr>
                <w:color w:val="000000"/>
                <w:szCs w:val="21"/>
              </w:rPr>
            </w:pPr>
            <w:r>
              <w:rPr>
                <w:color w:val="000000"/>
                <w:szCs w:val="21"/>
              </w:rPr>
              <w:t>砂粘粘</w:t>
            </w:r>
          </w:p>
          <w:p w14:paraId="06178EF3">
            <w:pPr>
              <w:jc w:val="center"/>
              <w:textAlignment w:val="center"/>
              <w:rPr>
                <w:rFonts w:ascii="宋体" w:hAnsi="宋体" w:cs="宋体"/>
                <w:color w:val="000000"/>
                <w:szCs w:val="21"/>
              </w:rPr>
            </w:pPr>
            <w:r>
              <w:rPr>
                <w:rFonts w:hint="eastAsia"/>
                <w:color w:val="000000"/>
                <w:szCs w:val="21"/>
              </w:rPr>
              <w:t>壤砂砂</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34BD">
            <w:pPr>
              <w:textAlignment w:val="center"/>
              <w:rPr>
                <w:color w:val="000000"/>
                <w:szCs w:val="21"/>
              </w:rPr>
            </w:pPr>
            <w:r>
              <w:rPr>
                <w:color w:val="000000"/>
                <w:szCs w:val="21"/>
              </w:rPr>
              <w:t>通体粘</w:t>
            </w:r>
            <w:r>
              <w:rPr>
                <w:rFonts w:hint="eastAsia"/>
                <w:color w:val="000000"/>
                <w:szCs w:val="21"/>
              </w:rPr>
              <w:t>，粘砂砂</w:t>
            </w:r>
          </w:p>
          <w:p w14:paraId="03AA1F95">
            <w:pPr>
              <w:textAlignment w:val="center"/>
              <w:rPr>
                <w:color w:val="000000"/>
                <w:szCs w:val="21"/>
              </w:rPr>
            </w:pPr>
            <w:r>
              <w:rPr>
                <w:rFonts w:hint="eastAsia"/>
                <w:color w:val="000000"/>
                <w:szCs w:val="21"/>
              </w:rPr>
              <w:t>粘砂粘，</w:t>
            </w:r>
            <w:r>
              <w:rPr>
                <w:color w:val="000000"/>
                <w:szCs w:val="21"/>
              </w:rPr>
              <w:t>砂粘砂</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B9EF">
            <w:pPr>
              <w:jc w:val="center"/>
              <w:textAlignment w:val="center"/>
              <w:rPr>
                <w:rFonts w:ascii="宋体" w:hAnsi="宋体" w:cs="宋体"/>
                <w:color w:val="000000"/>
                <w:szCs w:val="21"/>
              </w:rPr>
            </w:pPr>
            <w:r>
              <w:rPr>
                <w:color w:val="000000"/>
                <w:szCs w:val="21"/>
              </w:rPr>
              <w:t>通体砂</w:t>
            </w:r>
          </w:p>
        </w:tc>
      </w:tr>
      <w:tr w14:paraId="11B88276">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A0A6">
            <w:pPr>
              <w:jc w:val="center"/>
              <w:textAlignment w:val="top"/>
              <w:rPr>
                <w:rFonts w:ascii="宋体" w:hAnsi="宋体" w:cs="宋体"/>
                <w:color w:val="000000"/>
                <w:szCs w:val="21"/>
              </w:rPr>
            </w:pPr>
            <w:r>
              <w:rPr>
                <w:rFonts w:hint="eastAsia" w:ascii="宋体" w:hAnsi="宋体" w:cs="宋体"/>
                <w:color w:val="000000"/>
                <w:kern w:val="0"/>
                <w:szCs w:val="21"/>
              </w:rPr>
              <w:t>表层土壤质地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C7EA">
            <w:pPr>
              <w:jc w:val="center"/>
              <w:textAlignment w:val="top"/>
              <w:rPr>
                <w:rFonts w:ascii="宋体" w:hAnsi="宋体" w:cs="宋体"/>
                <w:color w:val="000000"/>
                <w:szCs w:val="21"/>
              </w:rPr>
            </w:pPr>
            <w:r>
              <w:rPr>
                <w:rFonts w:hint="eastAsia" w:ascii="宋体" w:hAnsi="宋体" w:cs="宋体"/>
                <w:color w:val="000000"/>
                <w:kern w:val="0"/>
                <w:szCs w:val="21"/>
              </w:rPr>
              <w:t>0.132</w:t>
            </w:r>
            <w:r>
              <w:rPr>
                <w:rFonts w:ascii="宋体" w:hAnsi="宋体" w:cs="宋体"/>
                <w:color w:val="000000"/>
                <w:kern w:val="0"/>
                <w:szCs w:val="21"/>
              </w:rPr>
              <w:t>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CECA">
            <w:pPr>
              <w:jc w:val="center"/>
              <w:textAlignment w:val="center"/>
              <w:rPr>
                <w:rFonts w:ascii="宋体" w:hAnsi="宋体" w:cs="宋体"/>
                <w:color w:val="000000"/>
                <w:kern w:val="0"/>
                <w:szCs w:val="21"/>
              </w:rPr>
            </w:pPr>
            <w:r>
              <w:rPr>
                <w:rFonts w:hint="eastAsia" w:ascii="宋体" w:hAnsi="宋体" w:cs="宋体"/>
                <w:color w:val="000000"/>
                <w:kern w:val="0"/>
                <w:szCs w:val="21"/>
              </w:rPr>
              <w:t>轻壤</w:t>
            </w:r>
          </w:p>
          <w:p w14:paraId="0CFA592B">
            <w:pPr>
              <w:jc w:val="center"/>
              <w:textAlignment w:val="center"/>
              <w:rPr>
                <w:rFonts w:ascii="宋体" w:hAnsi="宋体" w:cs="宋体"/>
                <w:color w:val="000000"/>
                <w:szCs w:val="21"/>
              </w:rPr>
            </w:pPr>
            <w:r>
              <w:rPr>
                <w:rFonts w:ascii="宋体" w:hAnsi="宋体" w:cs="宋体"/>
                <w:color w:val="000000"/>
                <w:kern w:val="0"/>
                <w:szCs w:val="21"/>
              </w:rPr>
              <w:t>中壤</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11E8">
            <w:pPr>
              <w:jc w:val="center"/>
              <w:textAlignment w:val="center"/>
              <w:rPr>
                <w:rFonts w:ascii="宋体" w:hAnsi="宋体" w:cs="宋体"/>
                <w:color w:val="000000"/>
                <w:szCs w:val="21"/>
              </w:rPr>
            </w:pPr>
            <w:r>
              <w:rPr>
                <w:rFonts w:hint="eastAsia" w:ascii="宋体" w:hAnsi="宋体" w:cs="宋体"/>
                <w:color w:val="000000"/>
                <w:kern w:val="0"/>
                <w:szCs w:val="21"/>
              </w:rPr>
              <w:t>重</w:t>
            </w:r>
            <w:r>
              <w:rPr>
                <w:rFonts w:ascii="宋体" w:hAnsi="宋体" w:cs="宋体"/>
                <w:color w:val="000000"/>
                <w:kern w:val="0"/>
                <w:szCs w:val="21"/>
              </w:rPr>
              <w:t>壤</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EDBB">
            <w:pPr>
              <w:jc w:val="center"/>
              <w:textAlignment w:val="center"/>
              <w:rPr>
                <w:rFonts w:ascii="宋体" w:hAnsi="宋体" w:cs="宋体"/>
                <w:color w:val="000000"/>
                <w:szCs w:val="21"/>
              </w:rPr>
            </w:pPr>
            <w:r>
              <w:rPr>
                <w:rFonts w:hint="eastAsia" w:ascii="宋体" w:hAnsi="宋体" w:cs="宋体"/>
                <w:color w:val="000000"/>
                <w:kern w:val="0"/>
                <w:szCs w:val="21"/>
              </w:rPr>
              <w:t>砂</w:t>
            </w:r>
            <w:r>
              <w:rPr>
                <w:rFonts w:ascii="宋体" w:hAnsi="宋体" w:cs="宋体"/>
                <w:color w:val="000000"/>
                <w:kern w:val="0"/>
                <w:szCs w:val="21"/>
              </w:rPr>
              <w:t>壤</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3137">
            <w:pPr>
              <w:jc w:val="center"/>
              <w:textAlignment w:val="center"/>
              <w:rPr>
                <w:rFonts w:ascii="宋体" w:hAnsi="宋体" w:cs="宋体"/>
                <w:color w:val="000000"/>
                <w:szCs w:val="21"/>
              </w:rPr>
            </w:pPr>
            <w:r>
              <w:rPr>
                <w:rFonts w:hint="eastAsia" w:ascii="宋体" w:hAnsi="宋体" w:cs="宋体"/>
                <w:color w:val="000000"/>
                <w:kern w:val="0"/>
                <w:szCs w:val="21"/>
              </w:rPr>
              <w:t>黏土</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62C6">
            <w:pPr>
              <w:jc w:val="center"/>
              <w:textAlignment w:val="center"/>
              <w:rPr>
                <w:rFonts w:ascii="宋体" w:hAnsi="宋体" w:cs="宋体"/>
                <w:color w:val="000000"/>
                <w:kern w:val="0"/>
                <w:szCs w:val="21"/>
              </w:rPr>
            </w:pPr>
            <w:r>
              <w:rPr>
                <w:rFonts w:hint="eastAsia" w:ascii="宋体" w:hAnsi="宋体" w:cs="宋体"/>
                <w:color w:val="000000"/>
                <w:kern w:val="0"/>
                <w:szCs w:val="21"/>
              </w:rPr>
              <w:t>砂土</w:t>
            </w:r>
          </w:p>
          <w:p w14:paraId="36179DEC">
            <w:pPr>
              <w:jc w:val="center"/>
              <w:textAlignment w:val="center"/>
              <w:rPr>
                <w:rFonts w:ascii="宋体" w:hAnsi="宋体" w:cs="宋体"/>
                <w:color w:val="000000"/>
                <w:szCs w:val="21"/>
              </w:rPr>
            </w:pPr>
            <w:r>
              <w:rPr>
                <w:rFonts w:ascii="宋体" w:hAnsi="宋体" w:cs="宋体"/>
                <w:color w:val="000000"/>
                <w:kern w:val="0"/>
                <w:szCs w:val="21"/>
              </w:rPr>
              <w:t>砂质土</w:t>
            </w:r>
          </w:p>
        </w:tc>
      </w:tr>
      <w:tr w14:paraId="3A6AEC65">
        <w:tblPrEx>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7A5E">
            <w:pPr>
              <w:jc w:val="center"/>
              <w:textAlignment w:val="top"/>
              <w:rPr>
                <w:rFonts w:ascii="宋体" w:hAnsi="宋体" w:cs="宋体"/>
                <w:color w:val="000000"/>
                <w:szCs w:val="21"/>
              </w:rPr>
            </w:pPr>
            <w:r>
              <w:rPr>
                <w:rFonts w:hint="eastAsia" w:ascii="宋体" w:hAnsi="宋体" w:cs="宋体"/>
                <w:color w:val="000000"/>
                <w:kern w:val="0"/>
                <w:szCs w:val="21"/>
              </w:rPr>
              <w:t>土壤PH值</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AD8F">
            <w:pPr>
              <w:jc w:val="center"/>
              <w:textAlignment w:val="top"/>
              <w:rPr>
                <w:rFonts w:ascii="宋体" w:hAnsi="宋体" w:cs="宋体"/>
                <w:color w:val="000000"/>
                <w:szCs w:val="21"/>
              </w:rPr>
            </w:pPr>
            <w:r>
              <w:rPr>
                <w:rFonts w:hint="eastAsia" w:ascii="宋体" w:hAnsi="宋体" w:cs="宋体"/>
                <w:color w:val="000000"/>
                <w:kern w:val="0"/>
                <w:szCs w:val="21"/>
              </w:rPr>
              <w:t>0.0385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8FF4">
            <w:pPr>
              <w:jc w:val="center"/>
              <w:textAlignment w:val="center"/>
              <w:rPr>
                <w:rFonts w:ascii="宋体" w:hAnsi="宋体" w:cs="宋体"/>
                <w:color w:val="000000"/>
                <w:szCs w:val="21"/>
              </w:rPr>
            </w:pPr>
            <w:r>
              <w:rPr>
                <w:rFonts w:ascii="宋体" w:hAnsi="宋体" w:cs="宋体"/>
                <w:color w:val="000000"/>
                <w:kern w:val="0"/>
                <w:szCs w:val="21"/>
              </w:rPr>
              <w:t>6.0-7.9</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F1F9">
            <w:pPr>
              <w:jc w:val="center"/>
              <w:textAlignment w:val="center"/>
              <w:rPr>
                <w:rFonts w:ascii="宋体" w:hAnsi="宋体" w:cs="宋体"/>
                <w:color w:val="000000"/>
                <w:szCs w:val="21"/>
              </w:rPr>
            </w:pPr>
            <w:r>
              <w:rPr>
                <w:rFonts w:hint="eastAsia" w:ascii="宋体" w:hAnsi="宋体" w:cs="宋体"/>
                <w:color w:val="000000"/>
                <w:kern w:val="0"/>
                <w:szCs w:val="21"/>
              </w:rPr>
              <w:t>5.5-6.0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7EDB">
            <w:pPr>
              <w:jc w:val="center"/>
              <w:textAlignment w:val="center"/>
              <w:rPr>
                <w:rFonts w:ascii="宋体" w:hAnsi="宋体" w:cs="宋体"/>
                <w:color w:val="000000"/>
                <w:kern w:val="0"/>
                <w:szCs w:val="21"/>
              </w:rPr>
            </w:pPr>
            <w:r>
              <w:rPr>
                <w:rFonts w:ascii="宋体" w:hAnsi="宋体" w:cs="宋体"/>
                <w:color w:val="000000"/>
                <w:kern w:val="0"/>
                <w:szCs w:val="21"/>
              </w:rPr>
              <w:t>5.0-5.5</w:t>
            </w:r>
          </w:p>
          <w:p w14:paraId="5B802A61">
            <w:pPr>
              <w:jc w:val="center"/>
              <w:textAlignment w:val="center"/>
              <w:rPr>
                <w:rFonts w:ascii="宋体" w:hAnsi="宋体" w:cs="宋体"/>
                <w:color w:val="000000"/>
                <w:szCs w:val="21"/>
              </w:rPr>
            </w:pPr>
            <w:r>
              <w:rPr>
                <w:rFonts w:ascii="宋体" w:hAnsi="宋体" w:cs="宋体"/>
                <w:color w:val="000000"/>
                <w:kern w:val="0"/>
                <w:szCs w:val="21"/>
              </w:rPr>
              <w:t>7.9-8.5</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9DA9">
            <w:pPr>
              <w:jc w:val="center"/>
              <w:textAlignment w:val="center"/>
              <w:rPr>
                <w:rFonts w:ascii="宋体" w:hAnsi="宋体" w:cs="宋体"/>
                <w:color w:val="000000"/>
                <w:szCs w:val="21"/>
              </w:rPr>
            </w:pPr>
            <w:r>
              <w:rPr>
                <w:rFonts w:ascii="宋体" w:hAnsi="宋体" w:cs="宋体"/>
                <w:color w:val="000000"/>
                <w:kern w:val="0"/>
                <w:szCs w:val="21"/>
              </w:rPr>
              <w:t>4.5-5.0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23C7">
            <w:pPr>
              <w:jc w:val="center"/>
              <w:textAlignment w:val="center"/>
              <w:rPr>
                <w:rFonts w:ascii="宋体" w:hAnsi="宋体" w:cs="宋体"/>
                <w:color w:val="000000"/>
                <w:kern w:val="0"/>
                <w:szCs w:val="21"/>
              </w:rPr>
            </w:pPr>
            <w:r>
              <w:rPr>
                <w:rFonts w:hint="eastAsia" w:ascii="宋体" w:hAnsi="宋体" w:cs="宋体"/>
                <w:color w:val="000000"/>
                <w:kern w:val="0"/>
                <w:szCs w:val="21"/>
              </w:rPr>
              <w:t>＜4.5</w:t>
            </w:r>
          </w:p>
          <w:p w14:paraId="7AD4B645">
            <w:pPr>
              <w:jc w:val="center"/>
              <w:textAlignment w:val="center"/>
              <w:rPr>
                <w:rFonts w:ascii="宋体" w:hAnsi="宋体" w:cs="宋体"/>
                <w:color w:val="000000"/>
                <w:szCs w:val="21"/>
              </w:rPr>
            </w:pPr>
            <w:r>
              <w:rPr>
                <w:rFonts w:ascii="宋体" w:hAnsi="宋体" w:cs="宋体"/>
                <w:color w:val="000000"/>
                <w:kern w:val="0"/>
                <w:szCs w:val="21"/>
              </w:rPr>
              <w:t>＞</w:t>
            </w:r>
            <w:r>
              <w:rPr>
                <w:rFonts w:hint="eastAsia" w:ascii="宋体" w:hAnsi="宋体" w:cs="宋体"/>
                <w:color w:val="000000"/>
                <w:kern w:val="0"/>
                <w:szCs w:val="21"/>
              </w:rPr>
              <w:t>8.5</w:t>
            </w:r>
          </w:p>
        </w:tc>
      </w:tr>
      <w:tr w14:paraId="6A463E4B">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0B49">
            <w:pPr>
              <w:jc w:val="center"/>
              <w:textAlignment w:val="top"/>
              <w:rPr>
                <w:rFonts w:ascii="宋体" w:hAnsi="宋体" w:cs="宋体"/>
                <w:color w:val="000000"/>
                <w:szCs w:val="21"/>
              </w:rPr>
            </w:pPr>
            <w:r>
              <w:rPr>
                <w:rFonts w:hint="eastAsia" w:ascii="宋体" w:hAnsi="宋体" w:cs="宋体"/>
                <w:color w:val="000000"/>
                <w:kern w:val="0"/>
                <w:szCs w:val="21"/>
              </w:rPr>
              <w:t>障碍层深度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D995">
            <w:pPr>
              <w:jc w:val="center"/>
              <w:textAlignment w:val="top"/>
              <w:rPr>
                <w:rFonts w:ascii="宋体" w:hAnsi="宋体" w:cs="宋体"/>
                <w:color w:val="000000"/>
                <w:szCs w:val="21"/>
              </w:rPr>
            </w:pPr>
            <w:r>
              <w:rPr>
                <w:rFonts w:hint="eastAsia" w:ascii="宋体" w:hAnsi="宋体" w:cs="宋体"/>
                <w:color w:val="000000"/>
                <w:kern w:val="0"/>
                <w:szCs w:val="21"/>
              </w:rPr>
              <w:t>0.0495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A2D7">
            <w:pPr>
              <w:jc w:val="center"/>
              <w:rPr>
                <w:color w:val="000000"/>
                <w:kern w:val="0"/>
                <w:szCs w:val="21"/>
              </w:rPr>
            </w:pPr>
            <w:r>
              <w:rPr>
                <w:rFonts w:hint="eastAsia"/>
                <w:color w:val="000000"/>
                <w:kern w:val="0"/>
                <w:szCs w:val="21"/>
              </w:rPr>
              <w:t>≥150</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EA04">
            <w:pPr>
              <w:jc w:val="center"/>
              <w:rPr>
                <w:color w:val="000000"/>
                <w:kern w:val="0"/>
                <w:szCs w:val="21"/>
              </w:rPr>
            </w:pPr>
            <w:r>
              <w:rPr>
                <w:color w:val="000000"/>
                <w:szCs w:val="21"/>
              </w:rPr>
              <w:t>100-150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7909">
            <w:pPr>
              <w:jc w:val="center"/>
              <w:rPr>
                <w:color w:val="000000"/>
                <w:kern w:val="0"/>
                <w:szCs w:val="21"/>
              </w:rPr>
            </w:pPr>
            <w:r>
              <w:rPr>
                <w:color w:val="000000"/>
                <w:szCs w:val="21"/>
              </w:rPr>
              <w:t>60-100</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B9DF">
            <w:pPr>
              <w:jc w:val="center"/>
              <w:rPr>
                <w:color w:val="000000"/>
                <w:kern w:val="0"/>
                <w:szCs w:val="21"/>
              </w:rPr>
            </w:pPr>
            <w:r>
              <w:rPr>
                <w:color w:val="000000"/>
                <w:szCs w:val="21"/>
              </w:rPr>
              <w:t>30-60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A01A">
            <w:pPr>
              <w:jc w:val="center"/>
              <w:rPr>
                <w:color w:val="000000"/>
                <w:szCs w:val="21"/>
              </w:rPr>
            </w:pPr>
            <w:r>
              <w:rPr>
                <w:rFonts w:hint="eastAsia"/>
                <w:color w:val="000000"/>
                <w:szCs w:val="21"/>
              </w:rPr>
              <w:t>＜30</w:t>
            </w:r>
          </w:p>
        </w:tc>
      </w:tr>
      <w:tr w14:paraId="07472961">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AAFE">
            <w:pPr>
              <w:jc w:val="center"/>
              <w:textAlignment w:val="top"/>
              <w:rPr>
                <w:rFonts w:ascii="宋体" w:hAnsi="宋体" w:cs="宋体"/>
                <w:color w:val="000000"/>
                <w:szCs w:val="21"/>
              </w:rPr>
            </w:pPr>
            <w:r>
              <w:rPr>
                <w:rFonts w:hint="eastAsia" w:ascii="宋体" w:hAnsi="宋体" w:cs="宋体"/>
                <w:color w:val="000000"/>
                <w:kern w:val="0"/>
                <w:szCs w:val="21"/>
              </w:rPr>
              <w:t>地下水埋深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9393">
            <w:pPr>
              <w:jc w:val="center"/>
              <w:textAlignment w:val="top"/>
              <w:rPr>
                <w:rFonts w:ascii="宋体" w:hAnsi="宋体" w:cs="宋体"/>
                <w:color w:val="000000"/>
                <w:szCs w:val="21"/>
              </w:rPr>
            </w:pPr>
            <w:r>
              <w:rPr>
                <w:rFonts w:hint="eastAsia" w:ascii="宋体" w:hAnsi="宋体" w:cs="宋体"/>
                <w:color w:val="000000"/>
                <w:kern w:val="0"/>
                <w:szCs w:val="21"/>
              </w:rPr>
              <w:t>0.055</w:t>
            </w:r>
            <w:r>
              <w:rPr>
                <w:rFonts w:ascii="宋体" w:hAnsi="宋体" w:cs="宋体"/>
                <w:color w:val="000000"/>
                <w:kern w:val="0"/>
                <w:szCs w:val="21"/>
              </w:rPr>
              <w:t>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FF6D">
            <w:pPr>
              <w:jc w:val="center"/>
              <w:textAlignment w:val="center"/>
              <w:rPr>
                <w:rFonts w:ascii="宋体" w:hAnsi="宋体" w:cs="宋体"/>
                <w:color w:val="000000"/>
                <w:szCs w:val="21"/>
              </w:rPr>
            </w:pPr>
            <w:r>
              <w:rPr>
                <w:rFonts w:hint="eastAsia" w:ascii="宋体" w:hAnsi="宋体" w:cs="宋体"/>
                <w:color w:val="000000"/>
                <w:kern w:val="0"/>
                <w:szCs w:val="21"/>
              </w:rPr>
              <w:t>＜30</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9392">
            <w:pPr>
              <w:jc w:val="center"/>
              <w:textAlignment w:val="center"/>
              <w:rPr>
                <w:rFonts w:ascii="宋体" w:hAnsi="宋体" w:cs="宋体"/>
                <w:color w:val="000000"/>
                <w:szCs w:val="21"/>
              </w:rPr>
            </w:pPr>
            <w:r>
              <w:rPr>
                <w:rFonts w:hint="eastAsia" w:ascii="宋体" w:hAnsi="宋体" w:cs="宋体"/>
                <w:color w:val="000000"/>
                <w:kern w:val="0"/>
                <w:szCs w:val="21"/>
              </w:rPr>
              <w:t>（30,40]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41B3">
            <w:pPr>
              <w:jc w:val="center"/>
              <w:textAlignment w:val="center"/>
              <w:rPr>
                <w:rFonts w:ascii="宋体" w:hAnsi="宋体" w:cs="宋体"/>
                <w:color w:val="000000"/>
                <w:szCs w:val="21"/>
              </w:rPr>
            </w:pPr>
            <w:r>
              <w:rPr>
                <w:rFonts w:hint="eastAsia" w:ascii="宋体" w:hAnsi="宋体" w:cs="宋体"/>
                <w:color w:val="000000"/>
                <w:kern w:val="0"/>
                <w:szCs w:val="21"/>
              </w:rPr>
              <w:t>（40,50]</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BFB8">
            <w:pPr>
              <w:jc w:val="center"/>
              <w:textAlignment w:val="center"/>
              <w:rPr>
                <w:rFonts w:ascii="宋体" w:hAnsi="宋体" w:cs="宋体"/>
                <w:color w:val="000000"/>
                <w:kern w:val="0"/>
                <w:szCs w:val="21"/>
              </w:rPr>
            </w:pPr>
            <w:r>
              <w:rPr>
                <w:rFonts w:hint="eastAsia" w:ascii="宋体" w:hAnsi="宋体" w:cs="宋体"/>
                <w:color w:val="000000"/>
                <w:kern w:val="0"/>
                <w:szCs w:val="21"/>
              </w:rPr>
              <w:t>（5</w:t>
            </w:r>
            <w:r>
              <w:rPr>
                <w:rFonts w:ascii="宋体" w:hAnsi="宋体" w:cs="宋体"/>
                <w:color w:val="000000"/>
                <w:kern w:val="0"/>
                <w:szCs w:val="21"/>
              </w:rPr>
              <w:t>0,60</w:t>
            </w:r>
            <w:r>
              <w:rPr>
                <w:rFonts w:hint="eastAsia" w:ascii="宋体" w:hAnsi="宋体" w:cs="宋体"/>
                <w:color w:val="000000"/>
                <w:kern w:val="0"/>
                <w:szCs w:val="21"/>
              </w:rPr>
              <w:t>]</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474A">
            <w:pPr>
              <w:jc w:val="center"/>
              <w:textAlignment w:val="center"/>
              <w:rPr>
                <w:rFonts w:ascii="宋体" w:hAnsi="宋体" w:cs="宋体"/>
                <w:color w:val="000000"/>
                <w:szCs w:val="21"/>
              </w:rPr>
            </w:pPr>
            <w:r>
              <w:rPr>
                <w:rFonts w:hint="eastAsia" w:ascii="宋体" w:hAnsi="宋体" w:cs="宋体"/>
                <w:color w:val="000000"/>
                <w:kern w:val="0"/>
                <w:szCs w:val="21"/>
              </w:rPr>
              <w:t>≥60</w:t>
            </w:r>
          </w:p>
        </w:tc>
      </w:tr>
      <w:tr w14:paraId="69F374A5">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F9CB">
            <w:pPr>
              <w:jc w:val="center"/>
              <w:textAlignment w:val="top"/>
              <w:rPr>
                <w:rFonts w:ascii="宋体" w:hAnsi="宋体" w:cs="宋体"/>
                <w:color w:val="000000"/>
                <w:szCs w:val="21"/>
              </w:rPr>
            </w:pPr>
            <w:r>
              <w:rPr>
                <w:rFonts w:hint="eastAsia" w:ascii="宋体" w:hAnsi="宋体" w:cs="宋体"/>
                <w:color w:val="000000"/>
                <w:kern w:val="0"/>
                <w:szCs w:val="21"/>
              </w:rPr>
              <w:t>农贸市场影响度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3A11">
            <w:pPr>
              <w:jc w:val="center"/>
              <w:textAlignment w:val="top"/>
              <w:rPr>
                <w:rFonts w:ascii="宋体" w:hAnsi="宋体" w:cs="宋体"/>
                <w:color w:val="000000"/>
                <w:szCs w:val="21"/>
              </w:rPr>
            </w:pPr>
            <w:r>
              <w:rPr>
                <w:rFonts w:hint="eastAsia" w:ascii="宋体" w:hAnsi="宋体" w:cs="宋体"/>
                <w:color w:val="000000"/>
                <w:kern w:val="0"/>
                <w:szCs w:val="21"/>
              </w:rPr>
              <w:t>0.08</w:t>
            </w:r>
            <w:r>
              <w:rPr>
                <w:rFonts w:ascii="宋体" w:hAnsi="宋体" w:cs="宋体"/>
                <w:color w:val="000000"/>
                <w:kern w:val="0"/>
                <w:szCs w:val="21"/>
              </w:rPr>
              <w:t>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9300">
            <w:pPr>
              <w:textAlignment w:val="center"/>
              <w:rPr>
                <w:rFonts w:ascii="宋体" w:hAnsi="宋体" w:cs="宋体"/>
                <w:color w:val="000000"/>
                <w:szCs w:val="21"/>
              </w:rPr>
            </w:pPr>
            <w:r>
              <w:rPr>
                <w:rFonts w:hint="eastAsia" w:ascii="宋体" w:hAnsi="宋体" w:cs="宋体"/>
                <w:color w:val="000000"/>
                <w:kern w:val="0"/>
                <w:szCs w:val="21"/>
              </w:rPr>
              <w:t>距</w:t>
            </w:r>
            <w:r>
              <w:rPr>
                <w:rFonts w:ascii="宋体" w:hAnsi="宋体" w:cs="宋体"/>
                <w:color w:val="000000"/>
                <w:kern w:val="0"/>
                <w:szCs w:val="21"/>
              </w:rPr>
              <w:t>农贸市场近</w:t>
            </w:r>
            <w:r>
              <w:rPr>
                <w:rFonts w:hint="eastAsia" w:ascii="宋体" w:hAnsi="宋体" w:cs="宋体"/>
                <w:color w:val="000000"/>
                <w:kern w:val="0"/>
                <w:szCs w:val="21"/>
              </w:rPr>
              <w:t>，</w:t>
            </w:r>
            <w:r>
              <w:rPr>
                <w:rFonts w:ascii="宋体" w:hAnsi="宋体" w:cs="宋体"/>
                <w:color w:val="000000"/>
                <w:kern w:val="0"/>
                <w:szCs w:val="21"/>
              </w:rPr>
              <w:t>附近有大规模的农贸市场</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0426">
            <w:pPr>
              <w:textAlignment w:val="center"/>
              <w:rPr>
                <w:rFonts w:ascii="宋体" w:hAnsi="宋体" w:cs="宋体"/>
                <w:color w:val="000000"/>
                <w:szCs w:val="21"/>
              </w:rPr>
            </w:pPr>
            <w:r>
              <w:rPr>
                <w:rFonts w:hint="eastAsia" w:ascii="宋体" w:hAnsi="宋体" w:cs="宋体"/>
                <w:color w:val="000000"/>
                <w:kern w:val="0"/>
                <w:szCs w:val="21"/>
              </w:rPr>
              <w:t>距</w:t>
            </w:r>
            <w:r>
              <w:rPr>
                <w:rFonts w:ascii="宋体" w:hAnsi="宋体" w:cs="宋体"/>
                <w:color w:val="000000"/>
                <w:kern w:val="0"/>
                <w:szCs w:val="21"/>
              </w:rPr>
              <w:t>农贸市场</w:t>
            </w:r>
            <w:r>
              <w:rPr>
                <w:rFonts w:hint="eastAsia" w:ascii="宋体" w:hAnsi="宋体" w:cs="宋体"/>
                <w:color w:val="000000"/>
                <w:kern w:val="0"/>
                <w:szCs w:val="21"/>
              </w:rPr>
              <w:t>较</w:t>
            </w:r>
            <w:r>
              <w:rPr>
                <w:rFonts w:ascii="宋体" w:hAnsi="宋体" w:cs="宋体"/>
                <w:color w:val="000000"/>
                <w:kern w:val="0"/>
                <w:szCs w:val="21"/>
              </w:rPr>
              <w:t>近</w:t>
            </w:r>
            <w:r>
              <w:rPr>
                <w:rFonts w:hint="eastAsia" w:ascii="宋体" w:hAnsi="宋体" w:cs="宋体"/>
                <w:color w:val="000000"/>
                <w:kern w:val="0"/>
                <w:szCs w:val="21"/>
              </w:rPr>
              <w:t>，</w:t>
            </w:r>
            <w:r>
              <w:rPr>
                <w:rFonts w:ascii="宋体" w:hAnsi="宋体" w:cs="宋体"/>
                <w:color w:val="000000"/>
                <w:kern w:val="0"/>
                <w:szCs w:val="21"/>
              </w:rPr>
              <w:t>附近有</w:t>
            </w:r>
            <w:r>
              <w:rPr>
                <w:rFonts w:hint="eastAsia" w:ascii="宋体" w:hAnsi="宋体" w:cs="宋体"/>
                <w:color w:val="000000"/>
                <w:kern w:val="0"/>
                <w:szCs w:val="21"/>
              </w:rPr>
              <w:t>较</w:t>
            </w:r>
            <w:r>
              <w:rPr>
                <w:rFonts w:ascii="宋体" w:hAnsi="宋体" w:cs="宋体"/>
                <w:color w:val="000000"/>
                <w:kern w:val="0"/>
                <w:szCs w:val="21"/>
              </w:rPr>
              <w:t>大规模的农贸市场</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73C0">
            <w:pPr>
              <w:textAlignment w:val="center"/>
              <w:rPr>
                <w:rFonts w:ascii="宋体" w:hAnsi="宋体" w:cs="宋体"/>
                <w:color w:val="000000"/>
                <w:szCs w:val="21"/>
              </w:rPr>
            </w:pPr>
            <w:r>
              <w:rPr>
                <w:rFonts w:hint="eastAsia" w:ascii="宋体" w:hAnsi="宋体" w:cs="宋体"/>
                <w:color w:val="000000"/>
                <w:kern w:val="0"/>
                <w:szCs w:val="21"/>
              </w:rPr>
              <w:t>距</w:t>
            </w:r>
            <w:r>
              <w:rPr>
                <w:rFonts w:ascii="宋体" w:hAnsi="宋体" w:cs="宋体"/>
                <w:color w:val="000000"/>
                <w:kern w:val="0"/>
                <w:szCs w:val="21"/>
              </w:rPr>
              <w:t>农贸市场</w:t>
            </w:r>
            <w:r>
              <w:rPr>
                <w:rFonts w:hint="eastAsia" w:ascii="宋体" w:hAnsi="宋体" w:cs="宋体"/>
                <w:color w:val="000000"/>
                <w:kern w:val="0"/>
                <w:szCs w:val="21"/>
              </w:rPr>
              <w:t>一般，</w:t>
            </w:r>
            <w:r>
              <w:rPr>
                <w:rFonts w:ascii="宋体" w:hAnsi="宋体" w:cs="宋体"/>
                <w:color w:val="000000"/>
                <w:kern w:val="0"/>
                <w:szCs w:val="21"/>
              </w:rPr>
              <w:t>附近有</w:t>
            </w:r>
            <w:r>
              <w:rPr>
                <w:rFonts w:hint="eastAsia" w:ascii="宋体" w:hAnsi="宋体" w:cs="宋体"/>
                <w:color w:val="000000"/>
                <w:kern w:val="0"/>
                <w:szCs w:val="21"/>
              </w:rPr>
              <w:t>小</w:t>
            </w:r>
            <w:r>
              <w:rPr>
                <w:rFonts w:ascii="宋体" w:hAnsi="宋体" w:cs="宋体"/>
                <w:color w:val="000000"/>
                <w:kern w:val="0"/>
                <w:szCs w:val="21"/>
              </w:rPr>
              <w:t>规模的农贸市场</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6E3C">
            <w:pPr>
              <w:textAlignment w:val="center"/>
              <w:rPr>
                <w:rFonts w:ascii="宋体" w:hAnsi="宋体" w:cs="宋体"/>
                <w:color w:val="000000"/>
                <w:szCs w:val="21"/>
              </w:rPr>
            </w:pPr>
            <w:r>
              <w:rPr>
                <w:rFonts w:hint="eastAsia" w:ascii="宋体" w:hAnsi="宋体" w:cs="宋体"/>
                <w:color w:val="000000"/>
                <w:kern w:val="0"/>
                <w:szCs w:val="21"/>
              </w:rPr>
              <w:t>有较小</w:t>
            </w:r>
            <w:r>
              <w:rPr>
                <w:rFonts w:ascii="宋体" w:hAnsi="宋体" w:cs="宋体"/>
                <w:color w:val="000000"/>
                <w:kern w:val="0"/>
                <w:szCs w:val="21"/>
              </w:rPr>
              <w:t>规模的农贸市场</w:t>
            </w:r>
            <w:r>
              <w:rPr>
                <w:rFonts w:hint="eastAsia" w:ascii="宋体" w:hAnsi="宋体" w:cs="宋体"/>
                <w:color w:val="000000"/>
                <w:kern w:val="0"/>
                <w:szCs w:val="21"/>
              </w:rPr>
              <w:t>，但</w:t>
            </w:r>
            <w:r>
              <w:rPr>
                <w:rFonts w:ascii="宋体" w:hAnsi="宋体" w:cs="宋体"/>
                <w:color w:val="000000"/>
                <w:kern w:val="0"/>
                <w:szCs w:val="21"/>
              </w:rPr>
              <w:t>距离地块较远</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8F30">
            <w:pPr>
              <w:textAlignment w:val="center"/>
              <w:rPr>
                <w:rFonts w:ascii="宋体" w:hAnsi="宋体" w:cs="宋体"/>
                <w:color w:val="000000"/>
                <w:szCs w:val="21"/>
              </w:rPr>
            </w:pPr>
            <w:r>
              <w:rPr>
                <w:rFonts w:hint="eastAsia" w:ascii="宋体" w:hAnsi="宋体" w:cs="宋体"/>
                <w:color w:val="000000"/>
                <w:kern w:val="0"/>
                <w:szCs w:val="21"/>
              </w:rPr>
              <w:t>镇</w:t>
            </w:r>
            <w:r>
              <w:rPr>
                <w:rFonts w:ascii="宋体" w:hAnsi="宋体" w:cs="宋体"/>
                <w:color w:val="000000"/>
                <w:kern w:val="0"/>
                <w:szCs w:val="21"/>
              </w:rPr>
              <w:t>级区内无农贸市场</w:t>
            </w:r>
          </w:p>
        </w:tc>
      </w:tr>
      <w:tr w14:paraId="695981EE">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F891">
            <w:pPr>
              <w:jc w:val="center"/>
              <w:textAlignment w:val="top"/>
              <w:rPr>
                <w:rFonts w:ascii="宋体" w:hAnsi="宋体" w:cs="宋体"/>
                <w:color w:val="000000"/>
                <w:szCs w:val="21"/>
              </w:rPr>
            </w:pPr>
            <w:r>
              <w:rPr>
                <w:rFonts w:hint="eastAsia" w:ascii="宋体" w:hAnsi="宋体" w:cs="宋体"/>
                <w:color w:val="000000"/>
                <w:kern w:val="0"/>
                <w:szCs w:val="21"/>
              </w:rPr>
              <w:t>道路通达度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02EF">
            <w:pPr>
              <w:jc w:val="center"/>
              <w:textAlignment w:val="top"/>
              <w:rPr>
                <w:rFonts w:ascii="宋体" w:hAnsi="宋体" w:cs="宋体"/>
                <w:color w:val="000000"/>
                <w:szCs w:val="21"/>
              </w:rPr>
            </w:pPr>
            <w:r>
              <w:rPr>
                <w:rFonts w:hint="eastAsia" w:ascii="宋体" w:hAnsi="宋体" w:cs="宋体"/>
                <w:color w:val="000000"/>
                <w:kern w:val="0"/>
                <w:szCs w:val="21"/>
              </w:rPr>
              <w:t>0.08</w:t>
            </w:r>
            <w:r>
              <w:rPr>
                <w:rFonts w:ascii="宋体" w:hAnsi="宋体" w:cs="宋体"/>
                <w:color w:val="000000"/>
                <w:kern w:val="0"/>
                <w:szCs w:val="21"/>
              </w:rPr>
              <w:t>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6B8F">
            <w:pPr>
              <w:jc w:val="center"/>
              <w:textAlignment w:val="center"/>
              <w:rPr>
                <w:rFonts w:ascii="宋体" w:hAnsi="宋体" w:cs="宋体"/>
                <w:color w:val="000000"/>
                <w:szCs w:val="21"/>
              </w:rPr>
            </w:pPr>
            <w:r>
              <w:rPr>
                <w:rFonts w:hint="eastAsia" w:ascii="宋体" w:hAnsi="宋体" w:cs="宋体"/>
                <w:color w:val="000000"/>
                <w:kern w:val="0"/>
                <w:szCs w:val="21"/>
              </w:rPr>
              <w:t>临交通型</w:t>
            </w:r>
            <w:r>
              <w:rPr>
                <w:rFonts w:ascii="宋体" w:hAnsi="宋体" w:cs="宋体"/>
                <w:color w:val="000000"/>
                <w:kern w:val="0"/>
                <w:szCs w:val="21"/>
              </w:rPr>
              <w:t>主干道，</w:t>
            </w:r>
            <w:r>
              <w:rPr>
                <w:rFonts w:hint="eastAsia" w:ascii="宋体" w:hAnsi="宋体" w:cs="宋体"/>
                <w:color w:val="000000"/>
                <w:kern w:val="0"/>
                <w:szCs w:val="21"/>
              </w:rPr>
              <w:t>道路通达度</w:t>
            </w:r>
            <w:r>
              <w:rPr>
                <w:rFonts w:ascii="宋体" w:hAnsi="宋体" w:cs="宋体"/>
                <w:color w:val="000000"/>
                <w:kern w:val="0"/>
                <w:szCs w:val="21"/>
              </w:rPr>
              <w:t>高</w:t>
            </w:r>
            <w:r>
              <w:rPr>
                <w:rFonts w:hint="eastAsia" w:ascii="宋体" w:hAnsi="宋体" w:cs="宋体"/>
                <w:color w:val="000000"/>
                <w:kern w:val="0"/>
                <w:szCs w:val="21"/>
              </w:rPr>
              <w:t>，</w:t>
            </w:r>
            <w:r>
              <w:rPr>
                <w:rFonts w:ascii="宋体" w:hAnsi="宋体" w:cs="宋体"/>
                <w:color w:val="000000"/>
                <w:kern w:val="0"/>
                <w:szCs w:val="21"/>
              </w:rPr>
              <w:t>对外交通便利</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4509">
            <w:pPr>
              <w:jc w:val="center"/>
              <w:textAlignment w:val="center"/>
              <w:rPr>
                <w:rFonts w:ascii="宋体" w:hAnsi="宋体" w:cs="宋体"/>
                <w:color w:val="000000"/>
                <w:szCs w:val="21"/>
              </w:rPr>
            </w:pPr>
            <w:r>
              <w:rPr>
                <w:rFonts w:hint="eastAsia" w:ascii="宋体" w:hAnsi="宋体" w:cs="宋体"/>
                <w:color w:val="000000"/>
                <w:kern w:val="0"/>
                <w:szCs w:val="21"/>
              </w:rPr>
              <w:t>临交通型次</w:t>
            </w:r>
            <w:r>
              <w:rPr>
                <w:rFonts w:ascii="宋体" w:hAnsi="宋体" w:cs="宋体"/>
                <w:color w:val="000000"/>
                <w:kern w:val="0"/>
                <w:szCs w:val="21"/>
              </w:rPr>
              <w:t>干道，</w:t>
            </w:r>
            <w:r>
              <w:rPr>
                <w:rFonts w:hint="eastAsia" w:ascii="宋体" w:hAnsi="宋体" w:cs="宋体"/>
                <w:color w:val="000000"/>
                <w:kern w:val="0"/>
                <w:szCs w:val="21"/>
              </w:rPr>
              <w:t>道路通达度较</w:t>
            </w:r>
            <w:r>
              <w:rPr>
                <w:rFonts w:ascii="宋体" w:hAnsi="宋体" w:cs="宋体"/>
                <w:color w:val="000000"/>
                <w:kern w:val="0"/>
                <w:szCs w:val="21"/>
              </w:rPr>
              <w:t>高</w:t>
            </w:r>
            <w:r>
              <w:rPr>
                <w:rFonts w:hint="eastAsia" w:ascii="宋体" w:hAnsi="宋体" w:cs="宋体"/>
                <w:color w:val="000000"/>
                <w:kern w:val="0"/>
                <w:szCs w:val="21"/>
              </w:rPr>
              <w:t>，</w:t>
            </w:r>
            <w:r>
              <w:rPr>
                <w:rFonts w:ascii="宋体" w:hAnsi="宋体" w:cs="宋体"/>
                <w:color w:val="000000"/>
                <w:kern w:val="0"/>
                <w:szCs w:val="21"/>
              </w:rPr>
              <w:t>对外交通</w:t>
            </w:r>
            <w:r>
              <w:rPr>
                <w:rFonts w:hint="eastAsia" w:ascii="宋体" w:hAnsi="宋体" w:cs="宋体"/>
                <w:color w:val="000000"/>
                <w:kern w:val="0"/>
                <w:szCs w:val="21"/>
              </w:rPr>
              <w:t>较</w:t>
            </w:r>
            <w:r>
              <w:rPr>
                <w:rFonts w:ascii="宋体" w:hAnsi="宋体" w:cs="宋体"/>
                <w:color w:val="000000"/>
                <w:kern w:val="0"/>
                <w:szCs w:val="21"/>
              </w:rPr>
              <w:t>便利</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4140">
            <w:pPr>
              <w:jc w:val="center"/>
              <w:textAlignment w:val="center"/>
              <w:rPr>
                <w:rFonts w:ascii="宋体" w:hAnsi="宋体" w:cs="宋体"/>
                <w:color w:val="000000"/>
                <w:szCs w:val="21"/>
              </w:rPr>
            </w:pPr>
            <w:r>
              <w:rPr>
                <w:rFonts w:hint="eastAsia" w:ascii="宋体" w:hAnsi="宋体" w:cs="宋体"/>
                <w:color w:val="000000"/>
                <w:kern w:val="0"/>
                <w:szCs w:val="21"/>
              </w:rPr>
              <w:t>混合型</w:t>
            </w:r>
            <w:r>
              <w:rPr>
                <w:rFonts w:ascii="宋体" w:hAnsi="宋体" w:cs="宋体"/>
                <w:color w:val="000000"/>
                <w:kern w:val="0"/>
                <w:szCs w:val="21"/>
              </w:rPr>
              <w:t>主干道，</w:t>
            </w:r>
            <w:r>
              <w:rPr>
                <w:rFonts w:hint="eastAsia" w:ascii="宋体" w:hAnsi="宋体" w:cs="宋体"/>
                <w:color w:val="000000"/>
                <w:kern w:val="0"/>
                <w:szCs w:val="21"/>
              </w:rPr>
              <w:t>道路通达度一般，</w:t>
            </w:r>
            <w:r>
              <w:rPr>
                <w:rFonts w:ascii="宋体" w:hAnsi="宋体" w:cs="宋体"/>
                <w:color w:val="000000"/>
                <w:kern w:val="0"/>
                <w:szCs w:val="21"/>
              </w:rPr>
              <w:t>对外交通</w:t>
            </w:r>
            <w:r>
              <w:rPr>
                <w:rFonts w:hint="eastAsia" w:ascii="宋体" w:hAnsi="宋体" w:cs="宋体"/>
                <w:color w:val="000000"/>
                <w:kern w:val="0"/>
                <w:szCs w:val="21"/>
              </w:rPr>
              <w:t>一般</w:t>
            </w:r>
            <w:r>
              <w:rPr>
                <w:rFonts w:ascii="宋体" w:hAnsi="宋体" w:cs="宋体"/>
                <w:color w:val="000000"/>
                <w:kern w:val="0"/>
                <w:szCs w:val="21"/>
              </w:rPr>
              <w:t>便利</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348C">
            <w:pPr>
              <w:jc w:val="center"/>
              <w:textAlignment w:val="center"/>
              <w:rPr>
                <w:rFonts w:ascii="宋体" w:hAnsi="宋体" w:cs="宋体"/>
                <w:color w:val="000000"/>
                <w:szCs w:val="21"/>
              </w:rPr>
            </w:pPr>
            <w:r>
              <w:rPr>
                <w:rFonts w:hint="eastAsia" w:ascii="宋体" w:hAnsi="宋体" w:cs="宋体"/>
                <w:color w:val="000000"/>
                <w:kern w:val="0"/>
                <w:szCs w:val="21"/>
              </w:rPr>
              <w:t>临支路</w:t>
            </w:r>
            <w:r>
              <w:rPr>
                <w:rFonts w:ascii="宋体" w:hAnsi="宋体" w:cs="宋体"/>
                <w:color w:val="000000"/>
                <w:kern w:val="0"/>
                <w:szCs w:val="21"/>
              </w:rPr>
              <w:t>，</w:t>
            </w:r>
            <w:r>
              <w:rPr>
                <w:rFonts w:hint="eastAsia" w:ascii="宋体" w:hAnsi="宋体" w:cs="宋体"/>
                <w:color w:val="000000"/>
                <w:kern w:val="0"/>
                <w:szCs w:val="21"/>
              </w:rPr>
              <w:t>道路通达度较低，</w:t>
            </w:r>
            <w:r>
              <w:rPr>
                <w:rFonts w:ascii="宋体" w:hAnsi="宋体" w:cs="宋体"/>
                <w:color w:val="000000"/>
                <w:kern w:val="0"/>
                <w:szCs w:val="21"/>
              </w:rPr>
              <w:t>对外交通</w:t>
            </w:r>
            <w:r>
              <w:rPr>
                <w:rFonts w:hint="eastAsia" w:ascii="宋体" w:hAnsi="宋体" w:cs="宋体"/>
                <w:color w:val="000000"/>
                <w:kern w:val="0"/>
                <w:szCs w:val="21"/>
              </w:rPr>
              <w:t>较差</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FAA4">
            <w:pPr>
              <w:jc w:val="center"/>
              <w:textAlignment w:val="center"/>
              <w:rPr>
                <w:rFonts w:ascii="宋体" w:hAnsi="宋体" w:cs="宋体"/>
                <w:color w:val="000000"/>
                <w:szCs w:val="21"/>
              </w:rPr>
            </w:pPr>
            <w:r>
              <w:rPr>
                <w:rFonts w:hint="eastAsia" w:ascii="宋体" w:hAnsi="宋体" w:cs="宋体"/>
                <w:color w:val="000000"/>
                <w:kern w:val="0"/>
                <w:szCs w:val="21"/>
              </w:rPr>
              <w:t>不临路</w:t>
            </w:r>
            <w:r>
              <w:rPr>
                <w:rFonts w:ascii="宋体" w:hAnsi="宋体" w:cs="宋体"/>
                <w:color w:val="000000"/>
                <w:kern w:val="0"/>
                <w:szCs w:val="21"/>
              </w:rPr>
              <w:t>，</w:t>
            </w:r>
            <w:r>
              <w:rPr>
                <w:rFonts w:hint="eastAsia" w:ascii="宋体" w:hAnsi="宋体" w:cs="宋体"/>
                <w:color w:val="000000"/>
                <w:kern w:val="0"/>
                <w:szCs w:val="21"/>
              </w:rPr>
              <w:t>道路通达度低，</w:t>
            </w:r>
            <w:r>
              <w:rPr>
                <w:rFonts w:ascii="宋体" w:hAnsi="宋体" w:cs="宋体"/>
                <w:color w:val="000000"/>
                <w:kern w:val="0"/>
                <w:szCs w:val="21"/>
              </w:rPr>
              <w:t>对外交通</w:t>
            </w:r>
            <w:r>
              <w:rPr>
                <w:rFonts w:hint="eastAsia" w:ascii="宋体" w:hAnsi="宋体" w:cs="宋体"/>
                <w:color w:val="000000"/>
                <w:kern w:val="0"/>
                <w:szCs w:val="21"/>
              </w:rPr>
              <w:t>差</w:t>
            </w:r>
          </w:p>
        </w:tc>
      </w:tr>
      <w:tr w14:paraId="2C530B6B">
        <w:tblPrEx>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4224">
            <w:pPr>
              <w:jc w:val="center"/>
              <w:textAlignment w:val="top"/>
              <w:rPr>
                <w:rFonts w:ascii="宋体" w:hAnsi="宋体" w:cs="宋体"/>
                <w:color w:val="000000"/>
                <w:szCs w:val="21"/>
              </w:rPr>
            </w:pPr>
            <w:r>
              <w:rPr>
                <w:rFonts w:hint="eastAsia" w:ascii="宋体" w:hAnsi="宋体" w:cs="宋体"/>
                <w:color w:val="000000"/>
                <w:kern w:val="0"/>
                <w:szCs w:val="21"/>
              </w:rPr>
              <w:t>排水条件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1E15">
            <w:pPr>
              <w:jc w:val="center"/>
              <w:textAlignment w:val="top"/>
              <w:rPr>
                <w:rFonts w:ascii="宋体" w:hAnsi="宋体" w:cs="宋体"/>
                <w:color w:val="000000"/>
                <w:szCs w:val="21"/>
              </w:rPr>
            </w:pPr>
            <w:r>
              <w:rPr>
                <w:rFonts w:hint="eastAsia" w:ascii="宋体" w:hAnsi="宋体" w:cs="宋体"/>
                <w:color w:val="000000"/>
                <w:kern w:val="0"/>
                <w:szCs w:val="21"/>
              </w:rPr>
              <w:t>0.06</w:t>
            </w:r>
            <w:r>
              <w:rPr>
                <w:rFonts w:ascii="宋体" w:hAnsi="宋体" w:cs="宋体"/>
                <w:color w:val="000000"/>
                <w:kern w:val="0"/>
                <w:szCs w:val="21"/>
              </w:rPr>
              <w:t>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5873">
            <w:pPr>
              <w:jc w:val="center"/>
              <w:textAlignment w:val="center"/>
              <w:rPr>
                <w:rFonts w:ascii="宋体" w:hAnsi="宋体" w:cs="宋体"/>
                <w:color w:val="000000"/>
                <w:szCs w:val="21"/>
              </w:rPr>
            </w:pPr>
            <w:r>
              <w:rPr>
                <w:rFonts w:hint="eastAsia" w:ascii="宋体" w:hAnsi="宋体" w:cs="宋体"/>
                <w:color w:val="000000"/>
                <w:kern w:val="0"/>
                <w:szCs w:val="21"/>
              </w:rPr>
              <w:t>排水体系健全</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729B">
            <w:pPr>
              <w:jc w:val="center"/>
              <w:textAlignment w:val="center"/>
              <w:rPr>
                <w:rFonts w:ascii="宋体" w:hAnsi="宋体" w:cs="宋体"/>
                <w:color w:val="000000"/>
                <w:szCs w:val="21"/>
              </w:rPr>
            </w:pPr>
            <w:r>
              <w:rPr>
                <w:rFonts w:hint="eastAsia" w:ascii="宋体" w:hAnsi="宋体" w:cs="宋体"/>
                <w:color w:val="000000"/>
                <w:kern w:val="0"/>
                <w:szCs w:val="21"/>
              </w:rPr>
              <w:t>排水体系基本健全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B1BE">
            <w:pPr>
              <w:jc w:val="center"/>
              <w:textAlignment w:val="center"/>
              <w:rPr>
                <w:rFonts w:ascii="宋体" w:hAnsi="宋体" w:cs="宋体"/>
                <w:color w:val="000000"/>
                <w:szCs w:val="21"/>
              </w:rPr>
            </w:pPr>
            <w:r>
              <w:rPr>
                <w:rFonts w:hint="eastAsia" w:ascii="宋体" w:hAnsi="宋体" w:cs="宋体"/>
                <w:color w:val="000000"/>
                <w:kern w:val="0"/>
                <w:szCs w:val="21"/>
              </w:rPr>
              <w:t>排水体系一般健全</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B570">
            <w:pPr>
              <w:jc w:val="center"/>
              <w:textAlignment w:val="center"/>
              <w:rPr>
                <w:rFonts w:ascii="宋体" w:hAnsi="宋体" w:cs="宋体"/>
                <w:color w:val="000000"/>
                <w:szCs w:val="21"/>
              </w:rPr>
            </w:pPr>
            <w:r>
              <w:rPr>
                <w:rFonts w:hint="eastAsia" w:ascii="宋体" w:hAnsi="宋体" w:cs="宋体"/>
                <w:color w:val="000000"/>
                <w:kern w:val="0"/>
                <w:szCs w:val="21"/>
              </w:rPr>
              <w:t>有排水体系，但</w:t>
            </w:r>
            <w:r>
              <w:rPr>
                <w:rFonts w:ascii="宋体" w:hAnsi="宋体" w:cs="宋体"/>
                <w:color w:val="000000"/>
                <w:kern w:val="0"/>
                <w:szCs w:val="21"/>
              </w:rPr>
              <w:t>排水体系较差</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0079">
            <w:pPr>
              <w:jc w:val="center"/>
              <w:textAlignment w:val="center"/>
              <w:rPr>
                <w:rFonts w:ascii="宋体" w:hAnsi="宋体" w:cs="宋体"/>
                <w:color w:val="000000"/>
                <w:szCs w:val="21"/>
              </w:rPr>
            </w:pPr>
            <w:r>
              <w:rPr>
                <w:rFonts w:hint="eastAsia" w:ascii="宋体" w:hAnsi="宋体" w:cs="宋体"/>
                <w:color w:val="000000"/>
                <w:kern w:val="0"/>
                <w:szCs w:val="21"/>
              </w:rPr>
              <w:t>无排水体系</w:t>
            </w:r>
          </w:p>
        </w:tc>
      </w:tr>
      <w:tr w14:paraId="1535518D">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F6FD">
            <w:pPr>
              <w:jc w:val="center"/>
              <w:textAlignment w:val="top"/>
              <w:rPr>
                <w:rFonts w:ascii="宋体" w:hAnsi="宋体" w:cs="宋体"/>
                <w:color w:val="000000"/>
                <w:szCs w:val="21"/>
              </w:rPr>
            </w:pPr>
            <w:r>
              <w:rPr>
                <w:rFonts w:hint="eastAsia" w:ascii="宋体" w:hAnsi="宋体" w:cs="宋体"/>
                <w:color w:val="000000"/>
                <w:kern w:val="0"/>
                <w:szCs w:val="21"/>
              </w:rPr>
              <w:t>灌溉保证率</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2595">
            <w:pPr>
              <w:jc w:val="center"/>
              <w:textAlignment w:val="top"/>
              <w:rPr>
                <w:rFonts w:ascii="宋体" w:hAnsi="宋体" w:cs="宋体"/>
                <w:color w:val="000000"/>
                <w:szCs w:val="21"/>
              </w:rPr>
            </w:pPr>
            <w:r>
              <w:rPr>
                <w:rFonts w:hint="eastAsia" w:ascii="宋体" w:hAnsi="宋体" w:cs="宋体"/>
                <w:color w:val="000000"/>
                <w:kern w:val="0"/>
                <w:szCs w:val="21"/>
              </w:rPr>
              <w:t>0.06</w:t>
            </w:r>
            <w:r>
              <w:rPr>
                <w:rFonts w:ascii="宋体" w:hAnsi="宋体" w:cs="宋体"/>
                <w:color w:val="000000"/>
                <w:kern w:val="0"/>
                <w:szCs w:val="21"/>
              </w:rPr>
              <w:t>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B0E8">
            <w:pPr>
              <w:jc w:val="center"/>
              <w:textAlignment w:val="center"/>
              <w:rPr>
                <w:rFonts w:ascii="宋体" w:hAnsi="宋体" w:cs="宋体"/>
                <w:color w:val="000000"/>
                <w:szCs w:val="21"/>
              </w:rPr>
            </w:pPr>
            <w:r>
              <w:rPr>
                <w:rFonts w:hint="eastAsia" w:ascii="宋体" w:hAnsi="宋体" w:cs="宋体"/>
                <w:color w:val="000000"/>
                <w:kern w:val="0"/>
                <w:szCs w:val="21"/>
              </w:rPr>
              <w:t>充分满足</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DE6B">
            <w:pPr>
              <w:jc w:val="center"/>
              <w:textAlignment w:val="center"/>
              <w:rPr>
                <w:rFonts w:ascii="宋体" w:hAnsi="宋体" w:cs="宋体"/>
                <w:color w:val="000000"/>
                <w:szCs w:val="21"/>
              </w:rPr>
            </w:pPr>
            <w:r>
              <w:rPr>
                <w:rFonts w:hint="eastAsia" w:ascii="宋体" w:hAnsi="宋体" w:cs="宋体"/>
                <w:color w:val="000000"/>
                <w:kern w:val="0"/>
                <w:szCs w:val="21"/>
              </w:rPr>
              <w:t>基本满足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C026">
            <w:pPr>
              <w:jc w:val="center"/>
              <w:textAlignment w:val="center"/>
              <w:rPr>
                <w:rFonts w:ascii="宋体" w:hAnsi="宋体" w:cs="宋体"/>
                <w:color w:val="000000"/>
                <w:szCs w:val="21"/>
              </w:rPr>
            </w:pPr>
            <w:r>
              <w:rPr>
                <w:rFonts w:hint="eastAsia" w:ascii="宋体" w:hAnsi="宋体" w:cs="宋体"/>
                <w:color w:val="000000"/>
                <w:kern w:val="0"/>
                <w:szCs w:val="21"/>
              </w:rPr>
              <w:t>一般满足</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FA27">
            <w:pPr>
              <w:jc w:val="center"/>
              <w:textAlignment w:val="center"/>
              <w:rPr>
                <w:rFonts w:ascii="宋体" w:hAnsi="宋体" w:cs="宋体"/>
                <w:color w:val="000000"/>
                <w:szCs w:val="21"/>
              </w:rPr>
            </w:pPr>
            <w:r>
              <w:rPr>
                <w:rFonts w:hint="eastAsia" w:ascii="宋体" w:hAnsi="宋体" w:cs="宋体"/>
                <w:color w:val="000000"/>
                <w:kern w:val="0"/>
                <w:szCs w:val="21"/>
              </w:rPr>
              <w:t>较不能满足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AD8A">
            <w:pPr>
              <w:jc w:val="center"/>
              <w:textAlignment w:val="center"/>
              <w:rPr>
                <w:rFonts w:ascii="宋体" w:hAnsi="宋体" w:cs="宋体"/>
                <w:color w:val="000000"/>
                <w:szCs w:val="21"/>
              </w:rPr>
            </w:pPr>
            <w:r>
              <w:rPr>
                <w:rFonts w:hint="eastAsia" w:ascii="宋体" w:hAnsi="宋体" w:cs="宋体"/>
                <w:color w:val="000000"/>
                <w:kern w:val="0"/>
                <w:szCs w:val="21"/>
              </w:rPr>
              <w:t>难以满足</w:t>
            </w:r>
          </w:p>
        </w:tc>
      </w:tr>
      <w:tr w14:paraId="79D199FF">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9B09">
            <w:pPr>
              <w:jc w:val="center"/>
              <w:textAlignment w:val="top"/>
              <w:rPr>
                <w:rFonts w:ascii="宋体" w:hAnsi="宋体" w:cs="宋体"/>
                <w:color w:val="000000"/>
                <w:szCs w:val="21"/>
              </w:rPr>
            </w:pPr>
            <w:r>
              <w:rPr>
                <w:rFonts w:hint="eastAsia" w:ascii="宋体" w:hAnsi="宋体" w:cs="宋体"/>
                <w:color w:val="000000"/>
                <w:kern w:val="0"/>
                <w:szCs w:val="21"/>
              </w:rPr>
              <w:t>亩均资金投入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90C6">
            <w:pPr>
              <w:jc w:val="center"/>
              <w:textAlignment w:val="top"/>
              <w:rPr>
                <w:rFonts w:ascii="宋体" w:hAnsi="宋体" w:cs="宋体"/>
                <w:color w:val="000000"/>
                <w:szCs w:val="21"/>
              </w:rPr>
            </w:pPr>
            <w:r>
              <w:rPr>
                <w:rFonts w:hint="eastAsia" w:ascii="宋体" w:hAnsi="宋体" w:cs="宋体"/>
                <w:color w:val="000000"/>
                <w:kern w:val="0"/>
                <w:szCs w:val="21"/>
              </w:rPr>
              <w:t>0.06</w:t>
            </w:r>
            <w:r>
              <w:rPr>
                <w:rFonts w:ascii="宋体" w:hAnsi="宋体" w:cs="宋体"/>
                <w:color w:val="000000"/>
                <w:kern w:val="0"/>
                <w:szCs w:val="21"/>
              </w:rPr>
              <w:t>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0B79">
            <w:pPr>
              <w:jc w:val="center"/>
              <w:textAlignment w:val="center"/>
              <w:rPr>
                <w:rFonts w:ascii="宋体" w:hAnsi="宋体" w:cs="宋体"/>
                <w:color w:val="000000"/>
                <w:szCs w:val="21"/>
              </w:rPr>
            </w:pPr>
            <w:r>
              <w:rPr>
                <w:rFonts w:hint="eastAsia" w:ascii="宋体" w:hAnsi="宋体" w:cs="宋体"/>
                <w:color w:val="000000"/>
                <w:kern w:val="0"/>
                <w:szCs w:val="21"/>
              </w:rPr>
              <w:t>资金投入充足</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AF91">
            <w:pPr>
              <w:jc w:val="center"/>
              <w:textAlignment w:val="center"/>
              <w:rPr>
                <w:rFonts w:ascii="宋体" w:hAnsi="宋体" w:cs="宋体"/>
                <w:color w:val="000000"/>
                <w:szCs w:val="21"/>
              </w:rPr>
            </w:pPr>
            <w:r>
              <w:rPr>
                <w:rFonts w:hint="eastAsia" w:ascii="宋体" w:hAnsi="宋体" w:cs="宋体"/>
                <w:color w:val="000000"/>
                <w:kern w:val="0"/>
                <w:szCs w:val="21"/>
              </w:rPr>
              <w:t>资金投入较充足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726A">
            <w:pPr>
              <w:jc w:val="center"/>
              <w:textAlignment w:val="center"/>
              <w:rPr>
                <w:rFonts w:ascii="宋体" w:hAnsi="宋体" w:cs="宋体"/>
                <w:color w:val="000000"/>
                <w:szCs w:val="21"/>
              </w:rPr>
            </w:pPr>
            <w:r>
              <w:rPr>
                <w:rFonts w:hint="eastAsia" w:ascii="宋体" w:hAnsi="宋体" w:cs="宋体"/>
                <w:color w:val="000000"/>
                <w:kern w:val="0"/>
                <w:szCs w:val="21"/>
              </w:rPr>
              <w:t>资金投入一般</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7C73">
            <w:pPr>
              <w:jc w:val="center"/>
              <w:textAlignment w:val="center"/>
              <w:rPr>
                <w:rFonts w:ascii="宋体" w:hAnsi="宋体" w:cs="宋体"/>
                <w:color w:val="000000"/>
                <w:szCs w:val="21"/>
              </w:rPr>
            </w:pPr>
            <w:r>
              <w:rPr>
                <w:rFonts w:hint="eastAsia" w:ascii="宋体" w:hAnsi="宋体" w:cs="宋体"/>
                <w:color w:val="000000"/>
                <w:kern w:val="0"/>
                <w:szCs w:val="21"/>
              </w:rPr>
              <w:t>资金投入较</w:t>
            </w:r>
            <w:r>
              <w:rPr>
                <w:rFonts w:ascii="宋体" w:hAnsi="宋体" w:cs="宋体"/>
                <w:color w:val="000000"/>
                <w:kern w:val="0"/>
                <w:szCs w:val="21"/>
              </w:rPr>
              <w:t>不</w:t>
            </w:r>
            <w:r>
              <w:rPr>
                <w:rFonts w:hint="eastAsia" w:ascii="宋体" w:hAnsi="宋体" w:cs="宋体"/>
                <w:color w:val="000000"/>
                <w:kern w:val="0"/>
                <w:szCs w:val="21"/>
              </w:rPr>
              <w:t>充足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9E46">
            <w:pPr>
              <w:jc w:val="center"/>
              <w:textAlignment w:val="center"/>
              <w:rPr>
                <w:rFonts w:ascii="宋体" w:hAnsi="宋体" w:cs="宋体"/>
                <w:color w:val="000000"/>
                <w:szCs w:val="21"/>
              </w:rPr>
            </w:pPr>
            <w:r>
              <w:rPr>
                <w:rFonts w:hint="eastAsia" w:ascii="宋体" w:hAnsi="宋体" w:cs="宋体"/>
                <w:color w:val="000000"/>
                <w:kern w:val="0"/>
                <w:szCs w:val="21"/>
              </w:rPr>
              <w:t>资金投入不足</w:t>
            </w:r>
          </w:p>
        </w:tc>
      </w:tr>
      <w:tr w14:paraId="240132DA">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033F">
            <w:pPr>
              <w:jc w:val="center"/>
              <w:textAlignment w:val="top"/>
              <w:rPr>
                <w:rFonts w:ascii="宋体" w:hAnsi="宋体" w:cs="宋体"/>
                <w:color w:val="000000"/>
                <w:szCs w:val="21"/>
              </w:rPr>
            </w:pPr>
            <w:r>
              <w:rPr>
                <w:rFonts w:hint="eastAsia" w:ascii="宋体" w:hAnsi="宋体" w:cs="宋体"/>
                <w:color w:val="000000"/>
                <w:kern w:val="0"/>
                <w:szCs w:val="21"/>
              </w:rPr>
              <w:t>亩均纯收益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52C2">
            <w:pPr>
              <w:jc w:val="center"/>
              <w:textAlignment w:val="top"/>
              <w:rPr>
                <w:rFonts w:ascii="宋体" w:hAnsi="宋体" w:cs="宋体"/>
                <w:color w:val="000000"/>
                <w:szCs w:val="21"/>
              </w:rPr>
            </w:pPr>
            <w:r>
              <w:rPr>
                <w:rFonts w:hint="eastAsia" w:ascii="宋体" w:hAnsi="宋体" w:cs="宋体"/>
                <w:color w:val="000000"/>
                <w:kern w:val="0"/>
                <w:szCs w:val="21"/>
              </w:rPr>
              <w:t>0.06</w:t>
            </w:r>
            <w:r>
              <w:rPr>
                <w:rFonts w:ascii="宋体" w:hAnsi="宋体" w:cs="宋体"/>
                <w:color w:val="000000"/>
                <w:kern w:val="0"/>
                <w:szCs w:val="21"/>
              </w:rPr>
              <w:t>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97AA">
            <w:pPr>
              <w:jc w:val="center"/>
              <w:textAlignment w:val="center"/>
              <w:rPr>
                <w:rFonts w:ascii="宋体" w:hAnsi="宋体" w:cs="宋体"/>
                <w:color w:val="000000"/>
                <w:szCs w:val="21"/>
              </w:rPr>
            </w:pPr>
            <w:r>
              <w:rPr>
                <w:rFonts w:hint="eastAsia" w:ascii="宋体" w:hAnsi="宋体" w:cs="宋体"/>
                <w:color w:val="000000"/>
                <w:kern w:val="0"/>
                <w:szCs w:val="21"/>
              </w:rPr>
              <w:t>耕地收益</w:t>
            </w:r>
            <w:r>
              <w:rPr>
                <w:rFonts w:ascii="宋体" w:hAnsi="宋体" w:cs="宋体"/>
                <w:color w:val="000000"/>
                <w:kern w:val="0"/>
                <w:szCs w:val="21"/>
              </w:rPr>
              <w:t>好</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C09B">
            <w:pPr>
              <w:jc w:val="center"/>
              <w:textAlignment w:val="center"/>
              <w:rPr>
                <w:rFonts w:ascii="宋体" w:hAnsi="宋体" w:cs="宋体"/>
                <w:color w:val="000000"/>
                <w:szCs w:val="21"/>
              </w:rPr>
            </w:pPr>
            <w:r>
              <w:rPr>
                <w:rFonts w:hint="eastAsia" w:ascii="宋体" w:hAnsi="宋体" w:cs="宋体"/>
                <w:color w:val="000000"/>
                <w:kern w:val="0"/>
                <w:szCs w:val="21"/>
              </w:rPr>
              <w:t>耕地收益较</w:t>
            </w:r>
            <w:r>
              <w:rPr>
                <w:rFonts w:ascii="宋体" w:hAnsi="宋体" w:cs="宋体"/>
                <w:color w:val="000000"/>
                <w:kern w:val="0"/>
                <w:szCs w:val="21"/>
              </w:rPr>
              <w:t>好</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5668">
            <w:pPr>
              <w:jc w:val="center"/>
              <w:textAlignment w:val="center"/>
              <w:rPr>
                <w:rFonts w:ascii="宋体" w:hAnsi="宋体" w:cs="宋体"/>
                <w:color w:val="000000"/>
                <w:szCs w:val="21"/>
              </w:rPr>
            </w:pPr>
            <w:r>
              <w:rPr>
                <w:rFonts w:hint="eastAsia" w:ascii="宋体" w:hAnsi="宋体" w:cs="宋体"/>
                <w:color w:val="000000"/>
                <w:kern w:val="0"/>
                <w:szCs w:val="21"/>
              </w:rPr>
              <w:t>耕地收益一般</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4289">
            <w:pPr>
              <w:jc w:val="center"/>
              <w:textAlignment w:val="center"/>
              <w:rPr>
                <w:rFonts w:ascii="宋体" w:hAnsi="宋体" w:cs="宋体"/>
                <w:color w:val="000000"/>
                <w:szCs w:val="21"/>
              </w:rPr>
            </w:pPr>
            <w:r>
              <w:rPr>
                <w:rFonts w:hint="eastAsia" w:ascii="宋体" w:hAnsi="宋体" w:cs="宋体"/>
                <w:color w:val="000000"/>
                <w:kern w:val="0"/>
                <w:szCs w:val="21"/>
              </w:rPr>
              <w:t>耕地收益较低</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8B47">
            <w:pPr>
              <w:jc w:val="center"/>
              <w:textAlignment w:val="center"/>
              <w:rPr>
                <w:rFonts w:ascii="宋体" w:hAnsi="宋体" w:cs="宋体"/>
                <w:color w:val="000000"/>
                <w:szCs w:val="21"/>
              </w:rPr>
            </w:pPr>
            <w:r>
              <w:rPr>
                <w:rFonts w:hint="eastAsia" w:ascii="宋体" w:hAnsi="宋体" w:cs="宋体"/>
                <w:color w:val="000000"/>
                <w:kern w:val="0"/>
                <w:szCs w:val="21"/>
              </w:rPr>
              <w:t>耕地无收益</w:t>
            </w:r>
          </w:p>
        </w:tc>
      </w:tr>
    </w:tbl>
    <w:p w14:paraId="4EB499D8">
      <w:pPr>
        <w:ind w:firstLine="422"/>
        <w:jc w:val="center"/>
        <w:rPr>
          <w:b/>
          <w:szCs w:val="21"/>
        </w:rPr>
      </w:pPr>
    </w:p>
    <w:p w14:paraId="3E575EBF">
      <w:pPr>
        <w:ind w:firstLine="422"/>
        <w:jc w:val="center"/>
        <w:rPr>
          <w:b/>
          <w:szCs w:val="21"/>
        </w:rPr>
      </w:pPr>
    </w:p>
    <w:p w14:paraId="68012BD3">
      <w:pPr>
        <w:ind w:firstLine="422"/>
        <w:jc w:val="center"/>
        <w:rPr>
          <w:b/>
          <w:szCs w:val="21"/>
        </w:rPr>
      </w:pPr>
    </w:p>
    <w:p w14:paraId="78AE2063">
      <w:pPr>
        <w:ind w:firstLine="422"/>
        <w:jc w:val="center"/>
        <w:rPr>
          <w:b/>
          <w:szCs w:val="21"/>
        </w:rPr>
      </w:pPr>
    </w:p>
    <w:p w14:paraId="1A2E87CD">
      <w:pPr>
        <w:ind w:firstLine="422"/>
        <w:jc w:val="center"/>
        <w:rPr>
          <w:b/>
          <w:szCs w:val="21"/>
        </w:rPr>
      </w:pPr>
    </w:p>
    <w:p w14:paraId="7736AAE7">
      <w:pPr>
        <w:ind w:firstLine="422"/>
        <w:jc w:val="center"/>
        <w:rPr>
          <w:b/>
          <w:szCs w:val="21"/>
        </w:rPr>
      </w:pPr>
    </w:p>
    <w:p w14:paraId="431B66E1">
      <w:pPr>
        <w:ind w:firstLine="422"/>
        <w:jc w:val="center"/>
        <w:rPr>
          <w:b/>
          <w:szCs w:val="21"/>
        </w:rPr>
      </w:pPr>
    </w:p>
    <w:p w14:paraId="764C92F0">
      <w:pPr>
        <w:ind w:firstLine="422"/>
        <w:jc w:val="center"/>
        <w:rPr>
          <w:b/>
          <w:szCs w:val="21"/>
        </w:rPr>
      </w:pPr>
      <w:r>
        <w:rPr>
          <w:rFonts w:hint="eastAsia"/>
          <w:b/>
          <w:szCs w:val="21"/>
        </w:rPr>
        <w:t>5-6 II级国有农用地宗地价区域修正因素说明表</w:t>
      </w:r>
    </w:p>
    <w:tbl>
      <w:tblPr>
        <w:tblStyle w:val="39"/>
        <w:tblpPr w:leftFromText="180" w:rightFromText="180" w:vertAnchor="text" w:horzAnchor="margin" w:tblpY="149"/>
        <w:tblW w:w="8336" w:type="dxa"/>
        <w:tblInd w:w="0" w:type="dxa"/>
        <w:tblLayout w:type="fixed"/>
        <w:tblCellMar>
          <w:top w:w="15" w:type="dxa"/>
          <w:left w:w="15" w:type="dxa"/>
          <w:bottom w:w="15" w:type="dxa"/>
          <w:right w:w="15" w:type="dxa"/>
        </w:tblCellMar>
      </w:tblPr>
      <w:tblGrid>
        <w:gridCol w:w="1575"/>
        <w:gridCol w:w="708"/>
        <w:gridCol w:w="1248"/>
        <w:gridCol w:w="1304"/>
        <w:gridCol w:w="1134"/>
        <w:gridCol w:w="1417"/>
        <w:gridCol w:w="950"/>
      </w:tblGrid>
      <w:tr w14:paraId="6AA37DDF">
        <w:tblPrEx>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5395">
            <w:pPr>
              <w:jc w:val="center"/>
              <w:textAlignment w:val="top"/>
              <w:rPr>
                <w:rFonts w:ascii="宋体" w:hAnsi="宋体" w:cs="宋体"/>
                <w:color w:val="000000"/>
                <w:szCs w:val="21"/>
              </w:rPr>
            </w:pPr>
            <w:r>
              <w:rPr>
                <w:rFonts w:hint="eastAsia" w:ascii="宋体" w:hAnsi="宋体" w:cs="宋体"/>
                <w:color w:val="000000"/>
                <w:kern w:val="0"/>
                <w:szCs w:val="21"/>
              </w:rPr>
              <w:t>定级因子</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931F">
            <w:pPr>
              <w:jc w:val="center"/>
              <w:textAlignment w:val="top"/>
              <w:rPr>
                <w:rFonts w:ascii="宋体" w:hAnsi="宋体" w:cs="宋体"/>
                <w:color w:val="000000"/>
                <w:szCs w:val="21"/>
              </w:rPr>
            </w:pPr>
            <w:r>
              <w:rPr>
                <w:rFonts w:hint="eastAsia" w:ascii="宋体" w:hAnsi="宋体" w:cs="宋体"/>
                <w:color w:val="000000"/>
                <w:kern w:val="0"/>
                <w:szCs w:val="21"/>
              </w:rPr>
              <w:t>权重</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11F3">
            <w:pPr>
              <w:jc w:val="center"/>
              <w:textAlignment w:val="center"/>
              <w:rPr>
                <w:rFonts w:ascii="宋体" w:hAnsi="宋体" w:cs="宋体"/>
                <w:color w:val="000000"/>
                <w:szCs w:val="21"/>
              </w:rPr>
            </w:pPr>
            <w:r>
              <w:rPr>
                <w:rFonts w:hint="eastAsia" w:ascii="宋体" w:hAnsi="宋体" w:cs="宋体"/>
                <w:color w:val="000000"/>
                <w:kern w:val="0"/>
                <w:szCs w:val="21"/>
              </w:rPr>
              <w:t>优</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9E2F">
            <w:pPr>
              <w:jc w:val="center"/>
              <w:textAlignment w:val="center"/>
              <w:rPr>
                <w:rFonts w:ascii="宋体" w:hAnsi="宋体" w:cs="宋体"/>
                <w:color w:val="000000"/>
                <w:szCs w:val="21"/>
              </w:rPr>
            </w:pPr>
            <w:r>
              <w:rPr>
                <w:rFonts w:hint="eastAsia" w:ascii="宋体" w:hAnsi="宋体" w:cs="宋体"/>
                <w:color w:val="000000"/>
                <w:kern w:val="0"/>
                <w:szCs w:val="21"/>
              </w:rPr>
              <w:t>较优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6978">
            <w:pPr>
              <w:jc w:val="center"/>
              <w:textAlignment w:val="center"/>
              <w:rPr>
                <w:rFonts w:ascii="宋体" w:hAnsi="宋体" w:cs="宋体"/>
                <w:color w:val="000000"/>
                <w:szCs w:val="21"/>
              </w:rPr>
            </w:pPr>
            <w:r>
              <w:rPr>
                <w:rFonts w:hint="eastAsia" w:ascii="宋体" w:hAnsi="宋体" w:cs="宋体"/>
                <w:color w:val="000000"/>
                <w:kern w:val="0"/>
                <w:szCs w:val="21"/>
              </w:rPr>
              <w:t>一般</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AE70">
            <w:pPr>
              <w:jc w:val="center"/>
              <w:textAlignment w:val="center"/>
              <w:rPr>
                <w:rFonts w:ascii="宋体" w:hAnsi="宋体" w:cs="宋体"/>
                <w:color w:val="000000"/>
                <w:szCs w:val="21"/>
              </w:rPr>
            </w:pPr>
            <w:r>
              <w:rPr>
                <w:rFonts w:hint="eastAsia" w:ascii="宋体" w:hAnsi="宋体" w:cs="宋体"/>
                <w:color w:val="000000"/>
                <w:kern w:val="0"/>
                <w:szCs w:val="21"/>
              </w:rPr>
              <w:t>较劣</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2F06">
            <w:pPr>
              <w:jc w:val="center"/>
              <w:textAlignment w:val="center"/>
              <w:rPr>
                <w:rFonts w:ascii="宋体" w:hAnsi="宋体" w:cs="宋体"/>
                <w:color w:val="000000"/>
                <w:szCs w:val="21"/>
              </w:rPr>
            </w:pPr>
            <w:r>
              <w:rPr>
                <w:rFonts w:hint="eastAsia" w:ascii="宋体" w:hAnsi="宋体" w:cs="宋体"/>
                <w:color w:val="000000"/>
                <w:kern w:val="0"/>
                <w:szCs w:val="21"/>
              </w:rPr>
              <w:t>劣</w:t>
            </w:r>
          </w:p>
        </w:tc>
      </w:tr>
      <w:tr w14:paraId="64AAA2AA">
        <w:tblPrEx>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CB32">
            <w:pPr>
              <w:jc w:val="center"/>
              <w:textAlignment w:val="top"/>
              <w:rPr>
                <w:rFonts w:ascii="宋体" w:hAnsi="宋体" w:cs="宋体"/>
                <w:color w:val="000000"/>
                <w:szCs w:val="21"/>
              </w:rPr>
            </w:pPr>
            <w:r>
              <w:rPr>
                <w:rFonts w:hint="eastAsia" w:ascii="宋体" w:hAnsi="宋体" w:cs="宋体"/>
                <w:color w:val="000000"/>
                <w:kern w:val="0"/>
                <w:szCs w:val="21"/>
              </w:rPr>
              <w:t>地形坡度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E7CD">
            <w:pPr>
              <w:jc w:val="center"/>
              <w:textAlignment w:val="top"/>
              <w:rPr>
                <w:rFonts w:ascii="宋体" w:hAnsi="宋体" w:cs="宋体"/>
                <w:color w:val="000000"/>
                <w:szCs w:val="21"/>
              </w:rPr>
            </w:pPr>
            <w:r>
              <w:rPr>
                <w:rFonts w:hint="eastAsia" w:ascii="宋体" w:hAnsi="宋体" w:cs="宋体"/>
                <w:color w:val="000000"/>
                <w:kern w:val="0"/>
                <w:szCs w:val="21"/>
              </w:rPr>
              <w:t>0.05</w:t>
            </w:r>
            <w:r>
              <w:rPr>
                <w:rFonts w:ascii="宋体" w:hAnsi="宋体" w:cs="宋体"/>
                <w:color w:val="000000"/>
                <w:kern w:val="0"/>
                <w:szCs w:val="21"/>
              </w:rPr>
              <w:t>00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E481">
            <w:pPr>
              <w:jc w:val="center"/>
              <w:rPr>
                <w:color w:val="000000"/>
                <w:kern w:val="0"/>
                <w:szCs w:val="21"/>
              </w:rPr>
            </w:pPr>
            <w:r>
              <w:rPr>
                <w:rFonts w:hint="eastAsia"/>
                <w:color w:val="000000"/>
                <w:kern w:val="0"/>
                <w:szCs w:val="21"/>
              </w:rPr>
              <w:t>＜2°</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96A9">
            <w:pPr>
              <w:jc w:val="center"/>
              <w:rPr>
                <w:color w:val="000000"/>
                <w:kern w:val="0"/>
                <w:szCs w:val="21"/>
              </w:rPr>
            </w:pPr>
            <w:r>
              <w:rPr>
                <w:color w:val="000000"/>
                <w:szCs w:val="21"/>
              </w:rPr>
              <w:t>2</w:t>
            </w:r>
            <w:r>
              <w:rPr>
                <w:rFonts w:hint="eastAsia"/>
                <w:color w:val="000000"/>
                <w:szCs w:val="21"/>
              </w:rPr>
              <w:t>°</w:t>
            </w:r>
            <w:r>
              <w:rPr>
                <w:color w:val="000000"/>
                <w:szCs w:val="21"/>
              </w:rPr>
              <w:t>-6</w:t>
            </w:r>
            <w:r>
              <w:rPr>
                <w:rFonts w:hint="eastAsia"/>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0FEF">
            <w:pPr>
              <w:jc w:val="center"/>
              <w:rPr>
                <w:color w:val="000000"/>
                <w:kern w:val="0"/>
                <w:szCs w:val="21"/>
              </w:rPr>
            </w:pPr>
            <w:r>
              <w:rPr>
                <w:color w:val="000000"/>
                <w:szCs w:val="21"/>
              </w:rPr>
              <w:t>6</w:t>
            </w:r>
            <w:r>
              <w:rPr>
                <w:rFonts w:hint="eastAsia"/>
                <w:color w:val="000000"/>
                <w:szCs w:val="21"/>
              </w:rPr>
              <w:t>°</w:t>
            </w:r>
            <w:r>
              <w:rPr>
                <w:color w:val="000000"/>
                <w:szCs w:val="21"/>
              </w:rPr>
              <w:t>-15</w:t>
            </w:r>
            <w:r>
              <w:rPr>
                <w:rFonts w:hint="eastAsia"/>
                <w:color w:val="000000"/>
                <w:szCs w:val="21"/>
              </w:rPr>
              <w:t>°</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17EB">
            <w:pPr>
              <w:jc w:val="center"/>
              <w:rPr>
                <w:color w:val="000000"/>
                <w:kern w:val="0"/>
                <w:szCs w:val="21"/>
              </w:rPr>
            </w:pPr>
            <w:r>
              <w:rPr>
                <w:color w:val="000000"/>
                <w:szCs w:val="21"/>
              </w:rPr>
              <w:t>15</w:t>
            </w:r>
            <w:r>
              <w:rPr>
                <w:rFonts w:hint="eastAsia"/>
                <w:color w:val="000000"/>
                <w:szCs w:val="21"/>
              </w:rPr>
              <w:t>°</w:t>
            </w:r>
            <w:r>
              <w:rPr>
                <w:color w:val="000000"/>
                <w:szCs w:val="21"/>
              </w:rPr>
              <w:t>-25</w:t>
            </w:r>
            <w:r>
              <w:rPr>
                <w:rFonts w:hint="eastAsia"/>
                <w:color w:val="000000"/>
                <w:szCs w:val="21"/>
              </w:rPr>
              <w:t>°</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BC41">
            <w:pPr>
              <w:jc w:val="center"/>
              <w:rPr>
                <w:color w:val="000000"/>
                <w:kern w:val="0"/>
                <w:szCs w:val="21"/>
              </w:rPr>
            </w:pPr>
            <w:r>
              <w:rPr>
                <w:rFonts w:hint="eastAsia"/>
                <w:color w:val="000000"/>
                <w:szCs w:val="21"/>
              </w:rPr>
              <w:t>＞25°</w:t>
            </w:r>
          </w:p>
        </w:tc>
      </w:tr>
      <w:tr w14:paraId="0499B512">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B1FF">
            <w:pPr>
              <w:jc w:val="center"/>
              <w:textAlignment w:val="top"/>
              <w:rPr>
                <w:rFonts w:ascii="宋体" w:hAnsi="宋体" w:cs="宋体"/>
                <w:color w:val="000000"/>
                <w:szCs w:val="21"/>
              </w:rPr>
            </w:pPr>
            <w:r>
              <w:rPr>
                <w:rFonts w:hint="eastAsia" w:ascii="宋体" w:hAnsi="宋体" w:cs="宋体"/>
                <w:color w:val="000000"/>
                <w:kern w:val="0"/>
                <w:szCs w:val="21"/>
              </w:rPr>
              <w:t>土壤有机质含量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4752">
            <w:pPr>
              <w:jc w:val="center"/>
              <w:textAlignment w:val="top"/>
              <w:rPr>
                <w:rFonts w:ascii="宋体" w:hAnsi="宋体" w:cs="宋体"/>
                <w:color w:val="000000"/>
                <w:szCs w:val="21"/>
              </w:rPr>
            </w:pPr>
            <w:r>
              <w:rPr>
                <w:rFonts w:hint="eastAsia" w:ascii="宋体" w:hAnsi="宋体" w:cs="宋体"/>
                <w:color w:val="000000"/>
                <w:kern w:val="0"/>
                <w:szCs w:val="21"/>
              </w:rPr>
              <w:t>0.154</w:t>
            </w:r>
            <w:r>
              <w:rPr>
                <w:rFonts w:ascii="宋体" w:hAnsi="宋体" w:cs="宋体"/>
                <w:color w:val="000000"/>
                <w:kern w:val="0"/>
                <w:szCs w:val="21"/>
              </w:rPr>
              <w:t>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CBA1">
            <w:pPr>
              <w:jc w:val="center"/>
              <w:rPr>
                <w:color w:val="000000"/>
                <w:kern w:val="0"/>
                <w:szCs w:val="21"/>
              </w:rPr>
            </w:pPr>
            <w:r>
              <w:rPr>
                <w:rFonts w:hint="eastAsia"/>
                <w:color w:val="000000"/>
                <w:kern w:val="0"/>
                <w:szCs w:val="21"/>
              </w:rPr>
              <w:t>≥4</w:t>
            </w:r>
            <w:r>
              <w:rPr>
                <w:color w:val="000000"/>
                <w:kern w:val="0"/>
                <w:szCs w:val="21"/>
              </w:rPr>
              <w:t>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E5E6">
            <w:pPr>
              <w:jc w:val="center"/>
              <w:rPr>
                <w:color w:val="000000"/>
                <w:kern w:val="0"/>
                <w:szCs w:val="21"/>
              </w:rPr>
            </w:pPr>
            <w:r>
              <w:rPr>
                <w:color w:val="000000"/>
                <w:szCs w:val="21"/>
              </w:rPr>
              <w:t>40-30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EF3D">
            <w:pPr>
              <w:jc w:val="center"/>
              <w:rPr>
                <w:color w:val="000000"/>
                <w:kern w:val="0"/>
                <w:szCs w:val="21"/>
              </w:rPr>
            </w:pPr>
            <w:r>
              <w:rPr>
                <w:color w:val="000000"/>
                <w:szCs w:val="21"/>
              </w:rPr>
              <w:t>30-20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BAF8">
            <w:pPr>
              <w:jc w:val="center"/>
              <w:rPr>
                <w:color w:val="000000"/>
                <w:kern w:val="0"/>
                <w:szCs w:val="21"/>
              </w:rPr>
            </w:pPr>
            <w:r>
              <w:rPr>
                <w:color w:val="000000"/>
                <w:szCs w:val="21"/>
              </w:rPr>
              <w:t>20-10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D22E">
            <w:pPr>
              <w:jc w:val="center"/>
              <w:rPr>
                <w:color w:val="000000"/>
                <w:kern w:val="0"/>
                <w:szCs w:val="21"/>
              </w:rPr>
            </w:pPr>
            <w:r>
              <w:rPr>
                <w:rFonts w:hint="eastAsia"/>
                <w:color w:val="000000"/>
                <w:szCs w:val="21"/>
              </w:rPr>
              <w:t>＜10</w:t>
            </w:r>
          </w:p>
        </w:tc>
      </w:tr>
      <w:tr w14:paraId="0D4D12B7">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545C">
            <w:pPr>
              <w:jc w:val="center"/>
              <w:textAlignment w:val="top"/>
              <w:rPr>
                <w:rFonts w:ascii="宋体" w:hAnsi="宋体" w:cs="宋体"/>
                <w:color w:val="000000"/>
                <w:szCs w:val="21"/>
              </w:rPr>
            </w:pPr>
            <w:r>
              <w:rPr>
                <w:rFonts w:hint="eastAsia" w:ascii="宋体" w:hAnsi="宋体" w:cs="宋体"/>
                <w:color w:val="000000"/>
                <w:kern w:val="0"/>
                <w:szCs w:val="21"/>
              </w:rPr>
              <w:t>土壤剖面构型</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166A">
            <w:pPr>
              <w:jc w:val="center"/>
              <w:textAlignment w:val="top"/>
              <w:rPr>
                <w:rFonts w:ascii="宋体" w:hAnsi="宋体" w:cs="宋体"/>
                <w:color w:val="000000"/>
                <w:szCs w:val="21"/>
              </w:rPr>
            </w:pPr>
            <w:r>
              <w:rPr>
                <w:rFonts w:hint="eastAsia" w:ascii="宋体" w:hAnsi="宋体" w:cs="宋体"/>
                <w:color w:val="000000"/>
                <w:kern w:val="0"/>
                <w:szCs w:val="21"/>
              </w:rPr>
              <w:t>0.</w:t>
            </w:r>
            <w:r>
              <w:rPr>
                <w:rFonts w:ascii="宋体" w:hAnsi="宋体" w:cs="宋体"/>
                <w:color w:val="000000"/>
                <w:kern w:val="0"/>
                <w:szCs w:val="21"/>
              </w:rPr>
              <w:t>1210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A09F">
            <w:pPr>
              <w:jc w:val="center"/>
              <w:textAlignment w:val="center"/>
              <w:rPr>
                <w:color w:val="000000"/>
                <w:kern w:val="0"/>
                <w:szCs w:val="21"/>
              </w:rPr>
            </w:pPr>
            <w:r>
              <w:rPr>
                <w:rFonts w:hint="eastAsia"/>
                <w:color w:val="000000"/>
                <w:kern w:val="0"/>
                <w:szCs w:val="21"/>
              </w:rPr>
              <w:t>通体壤</w:t>
            </w:r>
          </w:p>
          <w:p w14:paraId="0844E943">
            <w:pPr>
              <w:jc w:val="center"/>
              <w:textAlignment w:val="center"/>
              <w:rPr>
                <w:rFonts w:ascii="宋体" w:hAnsi="宋体" w:cs="宋体"/>
                <w:color w:val="000000"/>
                <w:szCs w:val="21"/>
              </w:rPr>
            </w:pPr>
            <w:r>
              <w:rPr>
                <w:color w:val="000000"/>
                <w:szCs w:val="21"/>
              </w:rPr>
              <w:t>壤沙壤</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EA59">
            <w:pPr>
              <w:jc w:val="center"/>
              <w:textAlignment w:val="center"/>
              <w:rPr>
                <w:color w:val="000000"/>
                <w:szCs w:val="21"/>
              </w:rPr>
            </w:pPr>
            <w:r>
              <w:rPr>
                <w:rFonts w:hint="eastAsia"/>
                <w:color w:val="000000"/>
                <w:szCs w:val="21"/>
              </w:rPr>
              <w:t>壤粘壤</w:t>
            </w:r>
          </w:p>
          <w:p w14:paraId="426CF2B6">
            <w:pPr>
              <w:jc w:val="center"/>
              <w:rPr>
                <w:color w:val="000000"/>
                <w:szCs w:val="21"/>
              </w:rPr>
            </w:pPr>
            <w:r>
              <w:rPr>
                <w:rFonts w:hint="eastAsia"/>
                <w:color w:val="000000"/>
                <w:szCs w:val="21"/>
              </w:rPr>
              <w:t>壤粘粘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1338">
            <w:pPr>
              <w:jc w:val="center"/>
              <w:textAlignment w:val="center"/>
              <w:rPr>
                <w:color w:val="000000"/>
                <w:szCs w:val="21"/>
              </w:rPr>
            </w:pPr>
            <w:r>
              <w:rPr>
                <w:color w:val="000000"/>
                <w:szCs w:val="21"/>
              </w:rPr>
              <w:t>砂粘粘</w:t>
            </w:r>
          </w:p>
          <w:p w14:paraId="0FE1C916">
            <w:pPr>
              <w:jc w:val="center"/>
              <w:textAlignment w:val="center"/>
              <w:rPr>
                <w:rFonts w:ascii="宋体" w:hAnsi="宋体" w:cs="宋体"/>
                <w:color w:val="000000"/>
                <w:szCs w:val="21"/>
              </w:rPr>
            </w:pPr>
            <w:r>
              <w:rPr>
                <w:rFonts w:hint="eastAsia"/>
                <w:color w:val="000000"/>
                <w:szCs w:val="21"/>
              </w:rPr>
              <w:t>壤砂砂</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1DC7">
            <w:pPr>
              <w:textAlignment w:val="center"/>
              <w:rPr>
                <w:color w:val="000000"/>
                <w:szCs w:val="21"/>
              </w:rPr>
            </w:pPr>
            <w:r>
              <w:rPr>
                <w:color w:val="000000"/>
                <w:szCs w:val="21"/>
              </w:rPr>
              <w:t>通体粘</w:t>
            </w:r>
            <w:r>
              <w:rPr>
                <w:rFonts w:hint="eastAsia"/>
                <w:color w:val="000000"/>
                <w:szCs w:val="21"/>
              </w:rPr>
              <w:t>，粘砂砂</w:t>
            </w:r>
          </w:p>
          <w:p w14:paraId="442B57DB">
            <w:pPr>
              <w:textAlignment w:val="center"/>
              <w:rPr>
                <w:color w:val="000000"/>
                <w:szCs w:val="21"/>
              </w:rPr>
            </w:pPr>
            <w:r>
              <w:rPr>
                <w:rFonts w:hint="eastAsia"/>
                <w:color w:val="000000"/>
                <w:szCs w:val="21"/>
              </w:rPr>
              <w:t>粘砂粘，</w:t>
            </w:r>
            <w:r>
              <w:rPr>
                <w:color w:val="000000"/>
                <w:szCs w:val="21"/>
              </w:rPr>
              <w:t>砂粘砂</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1780">
            <w:pPr>
              <w:jc w:val="center"/>
              <w:textAlignment w:val="center"/>
              <w:rPr>
                <w:rFonts w:ascii="宋体" w:hAnsi="宋体" w:cs="宋体"/>
                <w:color w:val="000000"/>
                <w:szCs w:val="21"/>
              </w:rPr>
            </w:pPr>
            <w:r>
              <w:rPr>
                <w:color w:val="000000"/>
                <w:szCs w:val="21"/>
              </w:rPr>
              <w:t>通体砂</w:t>
            </w:r>
          </w:p>
        </w:tc>
      </w:tr>
      <w:tr w14:paraId="7C65ADF4">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505C">
            <w:pPr>
              <w:jc w:val="center"/>
              <w:textAlignment w:val="top"/>
              <w:rPr>
                <w:rFonts w:ascii="宋体" w:hAnsi="宋体" w:cs="宋体"/>
                <w:color w:val="000000"/>
                <w:szCs w:val="21"/>
              </w:rPr>
            </w:pPr>
            <w:r>
              <w:rPr>
                <w:rFonts w:hint="eastAsia" w:ascii="宋体" w:hAnsi="宋体" w:cs="宋体"/>
                <w:color w:val="000000"/>
                <w:kern w:val="0"/>
                <w:szCs w:val="21"/>
              </w:rPr>
              <w:t>表层土壤质地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1A41">
            <w:pPr>
              <w:jc w:val="center"/>
              <w:textAlignment w:val="top"/>
              <w:rPr>
                <w:rFonts w:ascii="宋体" w:hAnsi="宋体" w:cs="宋体"/>
                <w:color w:val="000000"/>
                <w:szCs w:val="21"/>
              </w:rPr>
            </w:pPr>
            <w:r>
              <w:rPr>
                <w:rFonts w:hint="eastAsia" w:ascii="宋体" w:hAnsi="宋体" w:cs="宋体"/>
                <w:color w:val="000000"/>
                <w:kern w:val="0"/>
                <w:szCs w:val="21"/>
              </w:rPr>
              <w:t>0.132</w:t>
            </w:r>
            <w:r>
              <w:rPr>
                <w:rFonts w:ascii="宋体" w:hAnsi="宋体" w:cs="宋体"/>
                <w:color w:val="000000"/>
                <w:kern w:val="0"/>
                <w:szCs w:val="21"/>
              </w:rPr>
              <w:t>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164D">
            <w:pPr>
              <w:jc w:val="center"/>
              <w:textAlignment w:val="center"/>
              <w:rPr>
                <w:rFonts w:ascii="宋体" w:hAnsi="宋体" w:cs="宋体"/>
                <w:color w:val="000000"/>
                <w:kern w:val="0"/>
                <w:szCs w:val="21"/>
              </w:rPr>
            </w:pPr>
            <w:r>
              <w:rPr>
                <w:rFonts w:hint="eastAsia" w:ascii="宋体" w:hAnsi="宋体" w:cs="宋体"/>
                <w:color w:val="000000"/>
                <w:kern w:val="0"/>
                <w:szCs w:val="21"/>
              </w:rPr>
              <w:t>轻壤</w:t>
            </w:r>
          </w:p>
          <w:p w14:paraId="2FFAD185">
            <w:pPr>
              <w:jc w:val="center"/>
              <w:textAlignment w:val="center"/>
              <w:rPr>
                <w:rFonts w:ascii="宋体" w:hAnsi="宋体" w:cs="宋体"/>
                <w:color w:val="000000"/>
                <w:szCs w:val="21"/>
              </w:rPr>
            </w:pPr>
            <w:r>
              <w:rPr>
                <w:rFonts w:ascii="宋体" w:hAnsi="宋体" w:cs="宋体"/>
                <w:color w:val="000000"/>
                <w:kern w:val="0"/>
                <w:szCs w:val="21"/>
              </w:rPr>
              <w:t>中壤</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15DB">
            <w:pPr>
              <w:jc w:val="center"/>
              <w:textAlignment w:val="center"/>
              <w:rPr>
                <w:rFonts w:ascii="宋体" w:hAnsi="宋体" w:cs="宋体"/>
                <w:color w:val="000000"/>
                <w:szCs w:val="21"/>
              </w:rPr>
            </w:pPr>
            <w:r>
              <w:rPr>
                <w:rFonts w:hint="eastAsia" w:ascii="宋体" w:hAnsi="宋体" w:cs="宋体"/>
                <w:color w:val="000000"/>
                <w:kern w:val="0"/>
                <w:szCs w:val="21"/>
              </w:rPr>
              <w:t>重</w:t>
            </w:r>
            <w:r>
              <w:rPr>
                <w:rFonts w:ascii="宋体" w:hAnsi="宋体" w:cs="宋体"/>
                <w:color w:val="000000"/>
                <w:kern w:val="0"/>
                <w:szCs w:val="21"/>
              </w:rPr>
              <w:t>壤</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4BF9">
            <w:pPr>
              <w:jc w:val="center"/>
              <w:textAlignment w:val="center"/>
              <w:rPr>
                <w:rFonts w:ascii="宋体" w:hAnsi="宋体" w:cs="宋体"/>
                <w:color w:val="000000"/>
                <w:szCs w:val="21"/>
              </w:rPr>
            </w:pPr>
            <w:r>
              <w:rPr>
                <w:rFonts w:hint="eastAsia" w:ascii="宋体" w:hAnsi="宋体" w:cs="宋体"/>
                <w:color w:val="000000"/>
                <w:kern w:val="0"/>
                <w:szCs w:val="21"/>
              </w:rPr>
              <w:t>砂</w:t>
            </w:r>
            <w:r>
              <w:rPr>
                <w:rFonts w:ascii="宋体" w:hAnsi="宋体" w:cs="宋体"/>
                <w:color w:val="000000"/>
                <w:kern w:val="0"/>
                <w:szCs w:val="21"/>
              </w:rPr>
              <w:t>壤</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0C80">
            <w:pPr>
              <w:jc w:val="center"/>
              <w:textAlignment w:val="center"/>
              <w:rPr>
                <w:rFonts w:ascii="宋体" w:hAnsi="宋体" w:cs="宋体"/>
                <w:color w:val="000000"/>
                <w:szCs w:val="21"/>
              </w:rPr>
            </w:pPr>
            <w:r>
              <w:rPr>
                <w:rFonts w:hint="eastAsia" w:ascii="宋体" w:hAnsi="宋体" w:cs="宋体"/>
                <w:color w:val="000000"/>
                <w:kern w:val="0"/>
                <w:szCs w:val="21"/>
              </w:rPr>
              <w:t>黏土</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834F">
            <w:pPr>
              <w:jc w:val="center"/>
              <w:textAlignment w:val="center"/>
              <w:rPr>
                <w:rFonts w:ascii="宋体" w:hAnsi="宋体" w:cs="宋体"/>
                <w:color w:val="000000"/>
                <w:kern w:val="0"/>
                <w:szCs w:val="21"/>
              </w:rPr>
            </w:pPr>
            <w:r>
              <w:rPr>
                <w:rFonts w:hint="eastAsia" w:ascii="宋体" w:hAnsi="宋体" w:cs="宋体"/>
                <w:color w:val="000000"/>
                <w:kern w:val="0"/>
                <w:szCs w:val="21"/>
              </w:rPr>
              <w:t>砂土</w:t>
            </w:r>
          </w:p>
          <w:p w14:paraId="19D6F8DB">
            <w:pPr>
              <w:jc w:val="center"/>
              <w:textAlignment w:val="center"/>
              <w:rPr>
                <w:rFonts w:ascii="宋体" w:hAnsi="宋体" w:cs="宋体"/>
                <w:color w:val="000000"/>
                <w:szCs w:val="21"/>
              </w:rPr>
            </w:pPr>
            <w:r>
              <w:rPr>
                <w:rFonts w:ascii="宋体" w:hAnsi="宋体" w:cs="宋体"/>
                <w:color w:val="000000"/>
                <w:kern w:val="0"/>
                <w:szCs w:val="21"/>
              </w:rPr>
              <w:t>砂质土</w:t>
            </w:r>
          </w:p>
        </w:tc>
      </w:tr>
      <w:tr w14:paraId="601A18BB">
        <w:tblPrEx>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4790">
            <w:pPr>
              <w:jc w:val="center"/>
              <w:textAlignment w:val="top"/>
              <w:rPr>
                <w:rFonts w:ascii="宋体" w:hAnsi="宋体" w:cs="宋体"/>
                <w:color w:val="000000"/>
                <w:szCs w:val="21"/>
              </w:rPr>
            </w:pPr>
            <w:r>
              <w:rPr>
                <w:rFonts w:hint="eastAsia" w:ascii="宋体" w:hAnsi="宋体" w:cs="宋体"/>
                <w:color w:val="000000"/>
                <w:kern w:val="0"/>
                <w:szCs w:val="21"/>
              </w:rPr>
              <w:t>土壤PH值</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48BA">
            <w:pPr>
              <w:jc w:val="center"/>
              <w:textAlignment w:val="top"/>
              <w:rPr>
                <w:rFonts w:ascii="宋体" w:hAnsi="宋体" w:cs="宋体"/>
                <w:color w:val="000000"/>
                <w:szCs w:val="21"/>
              </w:rPr>
            </w:pPr>
            <w:r>
              <w:rPr>
                <w:rFonts w:hint="eastAsia" w:ascii="宋体" w:hAnsi="宋体" w:cs="宋体"/>
                <w:color w:val="000000"/>
                <w:kern w:val="0"/>
                <w:szCs w:val="21"/>
              </w:rPr>
              <w:t>0.0385</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7628">
            <w:pPr>
              <w:jc w:val="center"/>
              <w:textAlignment w:val="center"/>
              <w:rPr>
                <w:rFonts w:ascii="宋体" w:hAnsi="宋体" w:cs="宋体"/>
                <w:color w:val="000000"/>
                <w:szCs w:val="21"/>
              </w:rPr>
            </w:pPr>
            <w:r>
              <w:rPr>
                <w:rFonts w:ascii="宋体" w:hAnsi="宋体" w:cs="宋体"/>
                <w:color w:val="000000"/>
                <w:kern w:val="0"/>
                <w:szCs w:val="21"/>
              </w:rPr>
              <w:t>6.0-7.9</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7D12">
            <w:pPr>
              <w:jc w:val="center"/>
              <w:textAlignment w:val="center"/>
              <w:rPr>
                <w:rFonts w:ascii="宋体" w:hAnsi="宋体" w:cs="宋体"/>
                <w:color w:val="000000"/>
                <w:szCs w:val="21"/>
              </w:rPr>
            </w:pPr>
            <w:r>
              <w:rPr>
                <w:rFonts w:hint="eastAsia" w:ascii="宋体" w:hAnsi="宋体" w:cs="宋体"/>
                <w:color w:val="000000"/>
                <w:kern w:val="0"/>
                <w:szCs w:val="21"/>
              </w:rPr>
              <w:t>5.5-6.0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536E">
            <w:pPr>
              <w:jc w:val="center"/>
              <w:textAlignment w:val="center"/>
              <w:rPr>
                <w:rFonts w:ascii="宋体" w:hAnsi="宋体" w:cs="宋体"/>
                <w:color w:val="000000"/>
                <w:kern w:val="0"/>
                <w:szCs w:val="21"/>
              </w:rPr>
            </w:pPr>
            <w:r>
              <w:rPr>
                <w:rFonts w:ascii="宋体" w:hAnsi="宋体" w:cs="宋体"/>
                <w:color w:val="000000"/>
                <w:kern w:val="0"/>
                <w:szCs w:val="21"/>
              </w:rPr>
              <w:t>5.0-5.5</w:t>
            </w:r>
          </w:p>
          <w:p w14:paraId="4B9FEFD9">
            <w:pPr>
              <w:jc w:val="center"/>
              <w:textAlignment w:val="center"/>
              <w:rPr>
                <w:rFonts w:ascii="宋体" w:hAnsi="宋体" w:cs="宋体"/>
                <w:color w:val="000000"/>
                <w:szCs w:val="21"/>
              </w:rPr>
            </w:pPr>
            <w:r>
              <w:rPr>
                <w:rFonts w:ascii="宋体" w:hAnsi="宋体" w:cs="宋体"/>
                <w:color w:val="000000"/>
                <w:kern w:val="0"/>
                <w:szCs w:val="21"/>
              </w:rPr>
              <w:t>7.9-8.5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E310">
            <w:pPr>
              <w:jc w:val="center"/>
              <w:textAlignment w:val="center"/>
              <w:rPr>
                <w:rFonts w:ascii="宋体" w:hAnsi="宋体" w:cs="宋体"/>
                <w:color w:val="000000"/>
                <w:szCs w:val="21"/>
              </w:rPr>
            </w:pPr>
            <w:r>
              <w:rPr>
                <w:rFonts w:ascii="宋体" w:hAnsi="宋体" w:cs="宋体"/>
                <w:color w:val="000000"/>
                <w:kern w:val="0"/>
                <w:szCs w:val="21"/>
              </w:rPr>
              <w:t>4.5-5.0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03D0">
            <w:pPr>
              <w:jc w:val="center"/>
              <w:textAlignment w:val="center"/>
              <w:rPr>
                <w:rFonts w:ascii="宋体" w:hAnsi="宋体" w:cs="宋体"/>
                <w:color w:val="000000"/>
                <w:kern w:val="0"/>
                <w:szCs w:val="21"/>
              </w:rPr>
            </w:pPr>
            <w:r>
              <w:rPr>
                <w:rFonts w:hint="eastAsia" w:ascii="宋体" w:hAnsi="宋体" w:cs="宋体"/>
                <w:color w:val="000000"/>
                <w:kern w:val="0"/>
                <w:szCs w:val="21"/>
              </w:rPr>
              <w:t>＜4.5</w:t>
            </w:r>
          </w:p>
          <w:p w14:paraId="318B2EC0">
            <w:pPr>
              <w:jc w:val="center"/>
              <w:textAlignment w:val="center"/>
              <w:rPr>
                <w:rFonts w:ascii="宋体" w:hAnsi="宋体" w:cs="宋体"/>
                <w:color w:val="000000"/>
                <w:szCs w:val="21"/>
              </w:rPr>
            </w:pPr>
            <w:r>
              <w:rPr>
                <w:rFonts w:ascii="宋体" w:hAnsi="宋体" w:cs="宋体"/>
                <w:color w:val="000000"/>
                <w:kern w:val="0"/>
                <w:szCs w:val="21"/>
              </w:rPr>
              <w:t>＞</w:t>
            </w:r>
            <w:r>
              <w:rPr>
                <w:rFonts w:hint="eastAsia" w:ascii="宋体" w:hAnsi="宋体" w:cs="宋体"/>
                <w:color w:val="000000"/>
                <w:kern w:val="0"/>
                <w:szCs w:val="21"/>
              </w:rPr>
              <w:t>8.5</w:t>
            </w:r>
          </w:p>
        </w:tc>
      </w:tr>
      <w:tr w14:paraId="1924F091">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38A18">
            <w:pPr>
              <w:jc w:val="center"/>
              <w:textAlignment w:val="top"/>
              <w:rPr>
                <w:rFonts w:ascii="宋体" w:hAnsi="宋体" w:cs="宋体"/>
                <w:color w:val="000000"/>
                <w:szCs w:val="21"/>
              </w:rPr>
            </w:pPr>
            <w:r>
              <w:rPr>
                <w:rFonts w:hint="eastAsia" w:ascii="宋体" w:hAnsi="宋体" w:cs="宋体"/>
                <w:color w:val="000000"/>
                <w:kern w:val="0"/>
                <w:szCs w:val="21"/>
              </w:rPr>
              <w:t>障碍层深度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EA22">
            <w:pPr>
              <w:jc w:val="center"/>
              <w:textAlignment w:val="top"/>
              <w:rPr>
                <w:rFonts w:ascii="宋体" w:hAnsi="宋体" w:cs="宋体"/>
                <w:color w:val="000000"/>
                <w:szCs w:val="21"/>
              </w:rPr>
            </w:pPr>
            <w:r>
              <w:rPr>
                <w:rFonts w:hint="eastAsia" w:ascii="宋体" w:hAnsi="宋体" w:cs="宋体"/>
                <w:color w:val="000000"/>
                <w:kern w:val="0"/>
                <w:szCs w:val="21"/>
              </w:rPr>
              <w:t>0.0495</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95A8">
            <w:pPr>
              <w:jc w:val="center"/>
              <w:rPr>
                <w:color w:val="000000"/>
                <w:kern w:val="0"/>
                <w:szCs w:val="21"/>
              </w:rPr>
            </w:pPr>
            <w:r>
              <w:rPr>
                <w:rFonts w:hint="eastAsia"/>
                <w:color w:val="000000"/>
                <w:kern w:val="0"/>
                <w:szCs w:val="21"/>
              </w:rPr>
              <w:t>≥150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DC97">
            <w:pPr>
              <w:jc w:val="center"/>
              <w:rPr>
                <w:color w:val="000000"/>
                <w:kern w:val="0"/>
                <w:szCs w:val="21"/>
              </w:rPr>
            </w:pPr>
            <w:r>
              <w:rPr>
                <w:color w:val="000000"/>
                <w:szCs w:val="21"/>
              </w:rPr>
              <w:t>100-150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9846">
            <w:pPr>
              <w:jc w:val="center"/>
              <w:rPr>
                <w:color w:val="000000"/>
                <w:kern w:val="0"/>
                <w:szCs w:val="21"/>
              </w:rPr>
            </w:pPr>
            <w:r>
              <w:rPr>
                <w:color w:val="000000"/>
                <w:szCs w:val="21"/>
              </w:rPr>
              <w:t>60-100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7009">
            <w:pPr>
              <w:jc w:val="center"/>
              <w:rPr>
                <w:color w:val="000000"/>
                <w:kern w:val="0"/>
                <w:szCs w:val="21"/>
              </w:rPr>
            </w:pPr>
            <w:r>
              <w:rPr>
                <w:color w:val="000000"/>
                <w:szCs w:val="21"/>
              </w:rPr>
              <w:t>30-60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2389">
            <w:pPr>
              <w:jc w:val="center"/>
              <w:rPr>
                <w:color w:val="000000"/>
                <w:szCs w:val="21"/>
              </w:rPr>
            </w:pPr>
            <w:r>
              <w:rPr>
                <w:rFonts w:hint="eastAsia"/>
                <w:color w:val="000000"/>
                <w:szCs w:val="21"/>
              </w:rPr>
              <w:t>＜30</w:t>
            </w:r>
          </w:p>
        </w:tc>
      </w:tr>
      <w:tr w14:paraId="790D3C4B">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562D">
            <w:pPr>
              <w:jc w:val="center"/>
              <w:textAlignment w:val="top"/>
              <w:rPr>
                <w:rFonts w:ascii="宋体" w:hAnsi="宋体" w:cs="宋体"/>
                <w:color w:val="000000"/>
                <w:szCs w:val="21"/>
              </w:rPr>
            </w:pPr>
            <w:r>
              <w:rPr>
                <w:rFonts w:hint="eastAsia" w:ascii="宋体" w:hAnsi="宋体" w:cs="宋体"/>
                <w:color w:val="000000"/>
                <w:kern w:val="0"/>
                <w:szCs w:val="21"/>
              </w:rPr>
              <w:t>地下水埋深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8C19">
            <w:pPr>
              <w:jc w:val="center"/>
              <w:textAlignment w:val="top"/>
              <w:rPr>
                <w:rFonts w:ascii="宋体" w:hAnsi="宋体" w:cs="宋体"/>
                <w:color w:val="000000"/>
                <w:szCs w:val="21"/>
              </w:rPr>
            </w:pPr>
            <w:r>
              <w:rPr>
                <w:rFonts w:hint="eastAsia" w:ascii="宋体" w:hAnsi="宋体" w:cs="宋体"/>
                <w:color w:val="000000"/>
                <w:kern w:val="0"/>
                <w:szCs w:val="21"/>
              </w:rPr>
              <w:t>0.055</w:t>
            </w:r>
            <w:r>
              <w:rPr>
                <w:rFonts w:ascii="宋体" w:hAnsi="宋体" w:cs="宋体"/>
                <w:color w:val="000000"/>
                <w:kern w:val="0"/>
                <w:szCs w:val="21"/>
              </w:rPr>
              <w:t>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06C5">
            <w:pPr>
              <w:jc w:val="center"/>
              <w:textAlignment w:val="center"/>
              <w:rPr>
                <w:rFonts w:ascii="宋体" w:hAnsi="宋体" w:cs="宋体"/>
                <w:color w:val="000000"/>
                <w:szCs w:val="21"/>
              </w:rPr>
            </w:pPr>
            <w:r>
              <w:rPr>
                <w:rFonts w:hint="eastAsia" w:ascii="宋体" w:hAnsi="宋体" w:cs="宋体"/>
                <w:color w:val="000000"/>
                <w:kern w:val="0"/>
                <w:szCs w:val="21"/>
              </w:rPr>
              <w:t>＜30</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9A7D">
            <w:pPr>
              <w:jc w:val="center"/>
              <w:textAlignment w:val="center"/>
              <w:rPr>
                <w:rFonts w:ascii="宋体" w:hAnsi="宋体" w:cs="宋体"/>
                <w:color w:val="000000"/>
                <w:szCs w:val="21"/>
              </w:rPr>
            </w:pPr>
            <w:r>
              <w:rPr>
                <w:rFonts w:hint="eastAsia" w:ascii="宋体" w:hAnsi="宋体" w:cs="宋体"/>
                <w:color w:val="000000"/>
                <w:kern w:val="0"/>
                <w:szCs w:val="21"/>
              </w:rPr>
              <w:t>（30,40]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0BDC">
            <w:pPr>
              <w:jc w:val="center"/>
              <w:textAlignment w:val="center"/>
              <w:rPr>
                <w:rFonts w:ascii="宋体" w:hAnsi="宋体" w:cs="宋体"/>
                <w:color w:val="000000"/>
                <w:szCs w:val="21"/>
              </w:rPr>
            </w:pPr>
            <w:r>
              <w:rPr>
                <w:rFonts w:hint="eastAsia" w:ascii="宋体" w:hAnsi="宋体" w:cs="宋体"/>
                <w:color w:val="000000"/>
                <w:kern w:val="0"/>
                <w:szCs w:val="21"/>
              </w:rPr>
              <w:t>（40,50]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B3C6">
            <w:pPr>
              <w:jc w:val="center"/>
              <w:textAlignment w:val="center"/>
              <w:rPr>
                <w:rFonts w:ascii="宋体" w:hAnsi="宋体" w:cs="宋体"/>
                <w:color w:val="000000"/>
                <w:szCs w:val="21"/>
              </w:rPr>
            </w:pPr>
            <w:r>
              <w:rPr>
                <w:rFonts w:hint="eastAsia" w:ascii="宋体" w:hAnsi="宋体" w:cs="宋体"/>
                <w:color w:val="000000"/>
                <w:kern w:val="0"/>
                <w:szCs w:val="21"/>
              </w:rPr>
              <w:t>（5</w:t>
            </w:r>
            <w:r>
              <w:rPr>
                <w:rFonts w:ascii="宋体" w:hAnsi="宋体" w:cs="宋体"/>
                <w:color w:val="000000"/>
                <w:kern w:val="0"/>
                <w:szCs w:val="21"/>
              </w:rPr>
              <w:t>0,60</w:t>
            </w:r>
            <w:r>
              <w:rPr>
                <w:rFonts w:hint="eastAsia" w:ascii="宋体" w:hAnsi="宋体" w:cs="宋体"/>
                <w:color w:val="000000"/>
                <w:kern w:val="0"/>
                <w:szCs w:val="21"/>
              </w:rPr>
              <w:t>]</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9D09">
            <w:pPr>
              <w:jc w:val="center"/>
              <w:textAlignment w:val="center"/>
              <w:rPr>
                <w:rFonts w:ascii="宋体" w:hAnsi="宋体" w:cs="宋体"/>
                <w:color w:val="000000"/>
                <w:szCs w:val="21"/>
              </w:rPr>
            </w:pPr>
            <w:r>
              <w:rPr>
                <w:rFonts w:hint="eastAsia" w:ascii="宋体" w:hAnsi="宋体" w:cs="宋体"/>
                <w:color w:val="000000"/>
                <w:kern w:val="0"/>
                <w:szCs w:val="21"/>
              </w:rPr>
              <w:t>≥60</w:t>
            </w:r>
          </w:p>
        </w:tc>
      </w:tr>
      <w:tr w14:paraId="3A974B08">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5CF3">
            <w:pPr>
              <w:jc w:val="center"/>
              <w:textAlignment w:val="top"/>
              <w:rPr>
                <w:rFonts w:ascii="宋体" w:hAnsi="宋体" w:cs="宋体"/>
                <w:color w:val="000000"/>
                <w:szCs w:val="21"/>
              </w:rPr>
            </w:pPr>
            <w:r>
              <w:rPr>
                <w:rFonts w:hint="eastAsia" w:ascii="宋体" w:hAnsi="宋体" w:cs="宋体"/>
                <w:color w:val="000000"/>
                <w:kern w:val="0"/>
                <w:szCs w:val="21"/>
              </w:rPr>
              <w:t>农贸市场影响度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602A">
            <w:pPr>
              <w:jc w:val="center"/>
              <w:textAlignment w:val="top"/>
              <w:rPr>
                <w:rFonts w:ascii="宋体" w:hAnsi="宋体" w:cs="宋体"/>
                <w:color w:val="000000"/>
                <w:szCs w:val="21"/>
              </w:rPr>
            </w:pPr>
            <w:r>
              <w:rPr>
                <w:rFonts w:hint="eastAsia" w:ascii="宋体" w:hAnsi="宋体" w:cs="宋体"/>
                <w:color w:val="000000"/>
                <w:kern w:val="0"/>
                <w:szCs w:val="21"/>
              </w:rPr>
              <w:t>0.08</w:t>
            </w:r>
            <w:r>
              <w:rPr>
                <w:rFonts w:ascii="宋体" w:hAnsi="宋体" w:cs="宋体"/>
                <w:color w:val="000000"/>
                <w:kern w:val="0"/>
                <w:szCs w:val="21"/>
              </w:rPr>
              <w:t>00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2FD1">
            <w:pPr>
              <w:textAlignment w:val="center"/>
              <w:rPr>
                <w:rFonts w:ascii="宋体" w:hAnsi="宋体" w:cs="宋体"/>
                <w:color w:val="000000"/>
                <w:szCs w:val="21"/>
              </w:rPr>
            </w:pPr>
            <w:r>
              <w:rPr>
                <w:rFonts w:hint="eastAsia" w:ascii="宋体" w:hAnsi="宋体" w:cs="宋体"/>
                <w:color w:val="000000"/>
                <w:kern w:val="0"/>
                <w:szCs w:val="21"/>
              </w:rPr>
              <w:t>距</w:t>
            </w:r>
            <w:r>
              <w:rPr>
                <w:rFonts w:ascii="宋体" w:hAnsi="宋体" w:cs="宋体"/>
                <w:color w:val="000000"/>
                <w:kern w:val="0"/>
                <w:szCs w:val="21"/>
              </w:rPr>
              <w:t>农贸市场近</w:t>
            </w:r>
            <w:r>
              <w:rPr>
                <w:rFonts w:hint="eastAsia" w:ascii="宋体" w:hAnsi="宋体" w:cs="宋体"/>
                <w:color w:val="000000"/>
                <w:kern w:val="0"/>
                <w:szCs w:val="21"/>
              </w:rPr>
              <w:t>，</w:t>
            </w:r>
            <w:r>
              <w:rPr>
                <w:rFonts w:ascii="宋体" w:hAnsi="宋体" w:cs="宋体"/>
                <w:color w:val="000000"/>
                <w:kern w:val="0"/>
                <w:szCs w:val="21"/>
              </w:rPr>
              <w:t>附近有大规模的农贸市场</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42BE">
            <w:pPr>
              <w:textAlignment w:val="center"/>
              <w:rPr>
                <w:rFonts w:ascii="宋体" w:hAnsi="宋体" w:cs="宋体"/>
                <w:color w:val="000000"/>
                <w:szCs w:val="21"/>
              </w:rPr>
            </w:pPr>
            <w:r>
              <w:rPr>
                <w:rFonts w:hint="eastAsia" w:ascii="宋体" w:hAnsi="宋体" w:cs="宋体"/>
                <w:color w:val="000000"/>
                <w:kern w:val="0"/>
                <w:szCs w:val="21"/>
              </w:rPr>
              <w:t>距</w:t>
            </w:r>
            <w:r>
              <w:rPr>
                <w:rFonts w:ascii="宋体" w:hAnsi="宋体" w:cs="宋体"/>
                <w:color w:val="000000"/>
                <w:kern w:val="0"/>
                <w:szCs w:val="21"/>
              </w:rPr>
              <w:t>农贸市场</w:t>
            </w:r>
            <w:r>
              <w:rPr>
                <w:rFonts w:hint="eastAsia" w:ascii="宋体" w:hAnsi="宋体" w:cs="宋体"/>
                <w:color w:val="000000"/>
                <w:kern w:val="0"/>
                <w:szCs w:val="21"/>
              </w:rPr>
              <w:t>较</w:t>
            </w:r>
            <w:r>
              <w:rPr>
                <w:rFonts w:ascii="宋体" w:hAnsi="宋体" w:cs="宋体"/>
                <w:color w:val="000000"/>
                <w:kern w:val="0"/>
                <w:szCs w:val="21"/>
              </w:rPr>
              <w:t>近</w:t>
            </w:r>
            <w:r>
              <w:rPr>
                <w:rFonts w:hint="eastAsia" w:ascii="宋体" w:hAnsi="宋体" w:cs="宋体"/>
                <w:color w:val="000000"/>
                <w:kern w:val="0"/>
                <w:szCs w:val="21"/>
              </w:rPr>
              <w:t>，</w:t>
            </w:r>
            <w:r>
              <w:rPr>
                <w:rFonts w:ascii="宋体" w:hAnsi="宋体" w:cs="宋体"/>
                <w:color w:val="000000"/>
                <w:kern w:val="0"/>
                <w:szCs w:val="21"/>
              </w:rPr>
              <w:t>附近有</w:t>
            </w:r>
            <w:r>
              <w:rPr>
                <w:rFonts w:hint="eastAsia" w:ascii="宋体" w:hAnsi="宋体" w:cs="宋体"/>
                <w:color w:val="000000"/>
                <w:kern w:val="0"/>
                <w:szCs w:val="21"/>
              </w:rPr>
              <w:t>较</w:t>
            </w:r>
            <w:r>
              <w:rPr>
                <w:rFonts w:ascii="宋体" w:hAnsi="宋体" w:cs="宋体"/>
                <w:color w:val="000000"/>
                <w:kern w:val="0"/>
                <w:szCs w:val="21"/>
              </w:rPr>
              <w:t>大规模的农贸市场</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7DE0">
            <w:pPr>
              <w:textAlignment w:val="center"/>
              <w:rPr>
                <w:rFonts w:ascii="宋体" w:hAnsi="宋体" w:cs="宋体"/>
                <w:color w:val="000000"/>
                <w:szCs w:val="21"/>
              </w:rPr>
            </w:pPr>
            <w:r>
              <w:rPr>
                <w:rFonts w:hint="eastAsia" w:ascii="宋体" w:hAnsi="宋体" w:cs="宋体"/>
                <w:color w:val="000000"/>
                <w:kern w:val="0"/>
                <w:szCs w:val="21"/>
              </w:rPr>
              <w:t>距</w:t>
            </w:r>
            <w:r>
              <w:rPr>
                <w:rFonts w:ascii="宋体" w:hAnsi="宋体" w:cs="宋体"/>
                <w:color w:val="000000"/>
                <w:kern w:val="0"/>
                <w:szCs w:val="21"/>
              </w:rPr>
              <w:t>农贸市场</w:t>
            </w:r>
            <w:r>
              <w:rPr>
                <w:rFonts w:hint="eastAsia" w:ascii="宋体" w:hAnsi="宋体" w:cs="宋体"/>
                <w:color w:val="000000"/>
                <w:kern w:val="0"/>
                <w:szCs w:val="21"/>
              </w:rPr>
              <w:t>一般，</w:t>
            </w:r>
            <w:r>
              <w:rPr>
                <w:rFonts w:ascii="宋体" w:hAnsi="宋体" w:cs="宋体"/>
                <w:color w:val="000000"/>
                <w:kern w:val="0"/>
                <w:szCs w:val="21"/>
              </w:rPr>
              <w:t>附近有</w:t>
            </w:r>
            <w:r>
              <w:rPr>
                <w:rFonts w:hint="eastAsia" w:ascii="宋体" w:hAnsi="宋体" w:cs="宋体"/>
                <w:color w:val="000000"/>
                <w:kern w:val="0"/>
                <w:szCs w:val="21"/>
              </w:rPr>
              <w:t>小</w:t>
            </w:r>
            <w:r>
              <w:rPr>
                <w:rFonts w:ascii="宋体" w:hAnsi="宋体" w:cs="宋体"/>
                <w:color w:val="000000"/>
                <w:kern w:val="0"/>
                <w:szCs w:val="21"/>
              </w:rPr>
              <w:t>规模的农贸市场</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E6B4">
            <w:pPr>
              <w:textAlignment w:val="center"/>
              <w:rPr>
                <w:rFonts w:ascii="宋体" w:hAnsi="宋体" w:cs="宋体"/>
                <w:color w:val="000000"/>
                <w:szCs w:val="21"/>
              </w:rPr>
            </w:pPr>
            <w:r>
              <w:rPr>
                <w:rFonts w:hint="eastAsia" w:ascii="宋体" w:hAnsi="宋体" w:cs="宋体"/>
                <w:color w:val="000000"/>
                <w:kern w:val="0"/>
                <w:szCs w:val="21"/>
              </w:rPr>
              <w:t>有较小</w:t>
            </w:r>
            <w:r>
              <w:rPr>
                <w:rFonts w:ascii="宋体" w:hAnsi="宋体" w:cs="宋体"/>
                <w:color w:val="000000"/>
                <w:kern w:val="0"/>
                <w:szCs w:val="21"/>
              </w:rPr>
              <w:t>规模的农贸市场</w:t>
            </w:r>
            <w:r>
              <w:rPr>
                <w:rFonts w:hint="eastAsia" w:ascii="宋体" w:hAnsi="宋体" w:cs="宋体"/>
                <w:color w:val="000000"/>
                <w:kern w:val="0"/>
                <w:szCs w:val="21"/>
              </w:rPr>
              <w:t>，但</w:t>
            </w:r>
            <w:r>
              <w:rPr>
                <w:rFonts w:ascii="宋体" w:hAnsi="宋体" w:cs="宋体"/>
                <w:color w:val="000000"/>
                <w:kern w:val="0"/>
                <w:szCs w:val="21"/>
              </w:rPr>
              <w:t>距离地块较远</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2CF1">
            <w:pPr>
              <w:textAlignment w:val="center"/>
              <w:rPr>
                <w:rFonts w:ascii="宋体" w:hAnsi="宋体" w:cs="宋体"/>
                <w:color w:val="000000"/>
                <w:szCs w:val="21"/>
              </w:rPr>
            </w:pPr>
            <w:r>
              <w:rPr>
                <w:rFonts w:hint="eastAsia" w:ascii="宋体" w:hAnsi="宋体" w:cs="宋体"/>
                <w:color w:val="000000"/>
                <w:kern w:val="0"/>
                <w:szCs w:val="21"/>
              </w:rPr>
              <w:t>镇</w:t>
            </w:r>
            <w:r>
              <w:rPr>
                <w:rFonts w:ascii="宋体" w:hAnsi="宋体" w:cs="宋体"/>
                <w:color w:val="000000"/>
                <w:kern w:val="0"/>
                <w:szCs w:val="21"/>
              </w:rPr>
              <w:t>级区内无农贸市场</w:t>
            </w:r>
          </w:p>
        </w:tc>
      </w:tr>
      <w:tr w14:paraId="067239E9">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D380">
            <w:pPr>
              <w:jc w:val="center"/>
              <w:textAlignment w:val="top"/>
              <w:rPr>
                <w:rFonts w:ascii="宋体" w:hAnsi="宋体" w:cs="宋体"/>
                <w:color w:val="000000"/>
                <w:szCs w:val="21"/>
              </w:rPr>
            </w:pPr>
            <w:r>
              <w:rPr>
                <w:rFonts w:hint="eastAsia" w:ascii="宋体" w:hAnsi="宋体" w:cs="宋体"/>
                <w:color w:val="000000"/>
                <w:kern w:val="0"/>
                <w:szCs w:val="21"/>
              </w:rPr>
              <w:t>道路通达度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94B1">
            <w:pPr>
              <w:jc w:val="center"/>
              <w:textAlignment w:val="top"/>
              <w:rPr>
                <w:rFonts w:ascii="宋体" w:hAnsi="宋体" w:cs="宋体"/>
                <w:color w:val="000000"/>
                <w:szCs w:val="21"/>
              </w:rPr>
            </w:pPr>
            <w:r>
              <w:rPr>
                <w:rFonts w:hint="eastAsia" w:ascii="宋体" w:hAnsi="宋体" w:cs="宋体"/>
                <w:color w:val="000000"/>
                <w:kern w:val="0"/>
                <w:szCs w:val="21"/>
              </w:rPr>
              <w:t>0.08</w:t>
            </w:r>
            <w:r>
              <w:rPr>
                <w:rFonts w:ascii="宋体" w:hAnsi="宋体" w:cs="宋体"/>
                <w:color w:val="000000"/>
                <w:kern w:val="0"/>
                <w:szCs w:val="21"/>
              </w:rPr>
              <w:t>00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8C1B">
            <w:pPr>
              <w:jc w:val="center"/>
              <w:textAlignment w:val="center"/>
              <w:rPr>
                <w:rFonts w:ascii="宋体" w:hAnsi="宋体" w:cs="宋体"/>
                <w:color w:val="000000"/>
                <w:szCs w:val="21"/>
              </w:rPr>
            </w:pPr>
            <w:r>
              <w:rPr>
                <w:rFonts w:hint="eastAsia" w:ascii="宋体" w:hAnsi="宋体" w:cs="宋体"/>
                <w:color w:val="000000"/>
                <w:kern w:val="0"/>
                <w:szCs w:val="21"/>
              </w:rPr>
              <w:t>临交通型</w:t>
            </w:r>
            <w:r>
              <w:rPr>
                <w:rFonts w:ascii="宋体" w:hAnsi="宋体" w:cs="宋体"/>
                <w:color w:val="000000"/>
                <w:kern w:val="0"/>
                <w:szCs w:val="21"/>
              </w:rPr>
              <w:t>主干道，</w:t>
            </w:r>
            <w:r>
              <w:rPr>
                <w:rFonts w:hint="eastAsia" w:ascii="宋体" w:hAnsi="宋体" w:cs="宋体"/>
                <w:color w:val="000000"/>
                <w:kern w:val="0"/>
                <w:szCs w:val="21"/>
              </w:rPr>
              <w:t>道路通达度</w:t>
            </w:r>
            <w:r>
              <w:rPr>
                <w:rFonts w:ascii="宋体" w:hAnsi="宋体" w:cs="宋体"/>
                <w:color w:val="000000"/>
                <w:kern w:val="0"/>
                <w:szCs w:val="21"/>
              </w:rPr>
              <w:t>高</w:t>
            </w:r>
            <w:r>
              <w:rPr>
                <w:rFonts w:hint="eastAsia" w:ascii="宋体" w:hAnsi="宋体" w:cs="宋体"/>
                <w:color w:val="000000"/>
                <w:kern w:val="0"/>
                <w:szCs w:val="21"/>
              </w:rPr>
              <w:t>，</w:t>
            </w:r>
            <w:r>
              <w:rPr>
                <w:rFonts w:ascii="宋体" w:hAnsi="宋体" w:cs="宋体"/>
                <w:color w:val="000000"/>
                <w:kern w:val="0"/>
                <w:szCs w:val="21"/>
              </w:rPr>
              <w:t>对外交通便利</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1FDF">
            <w:pPr>
              <w:jc w:val="center"/>
              <w:textAlignment w:val="center"/>
              <w:rPr>
                <w:rFonts w:ascii="宋体" w:hAnsi="宋体" w:cs="宋体"/>
                <w:color w:val="000000"/>
                <w:szCs w:val="21"/>
              </w:rPr>
            </w:pPr>
            <w:r>
              <w:rPr>
                <w:rFonts w:hint="eastAsia" w:ascii="宋体" w:hAnsi="宋体" w:cs="宋体"/>
                <w:color w:val="000000"/>
                <w:kern w:val="0"/>
                <w:szCs w:val="21"/>
              </w:rPr>
              <w:t>临交通型次</w:t>
            </w:r>
            <w:r>
              <w:rPr>
                <w:rFonts w:ascii="宋体" w:hAnsi="宋体" w:cs="宋体"/>
                <w:color w:val="000000"/>
                <w:kern w:val="0"/>
                <w:szCs w:val="21"/>
              </w:rPr>
              <w:t>干道，</w:t>
            </w:r>
            <w:r>
              <w:rPr>
                <w:rFonts w:hint="eastAsia" w:ascii="宋体" w:hAnsi="宋体" w:cs="宋体"/>
                <w:color w:val="000000"/>
                <w:kern w:val="0"/>
                <w:szCs w:val="21"/>
              </w:rPr>
              <w:t>道路通达度较</w:t>
            </w:r>
            <w:r>
              <w:rPr>
                <w:rFonts w:ascii="宋体" w:hAnsi="宋体" w:cs="宋体"/>
                <w:color w:val="000000"/>
                <w:kern w:val="0"/>
                <w:szCs w:val="21"/>
              </w:rPr>
              <w:t>高</w:t>
            </w:r>
            <w:r>
              <w:rPr>
                <w:rFonts w:hint="eastAsia" w:ascii="宋体" w:hAnsi="宋体" w:cs="宋体"/>
                <w:color w:val="000000"/>
                <w:kern w:val="0"/>
                <w:szCs w:val="21"/>
              </w:rPr>
              <w:t>，</w:t>
            </w:r>
            <w:r>
              <w:rPr>
                <w:rFonts w:ascii="宋体" w:hAnsi="宋体" w:cs="宋体"/>
                <w:color w:val="000000"/>
                <w:kern w:val="0"/>
                <w:szCs w:val="21"/>
              </w:rPr>
              <w:t>对外交通</w:t>
            </w:r>
            <w:r>
              <w:rPr>
                <w:rFonts w:hint="eastAsia" w:ascii="宋体" w:hAnsi="宋体" w:cs="宋体"/>
                <w:color w:val="000000"/>
                <w:kern w:val="0"/>
                <w:szCs w:val="21"/>
              </w:rPr>
              <w:t>较</w:t>
            </w:r>
            <w:r>
              <w:rPr>
                <w:rFonts w:ascii="宋体" w:hAnsi="宋体" w:cs="宋体"/>
                <w:color w:val="000000"/>
                <w:kern w:val="0"/>
                <w:szCs w:val="21"/>
              </w:rPr>
              <w:t>便利</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11F4">
            <w:pPr>
              <w:jc w:val="center"/>
              <w:textAlignment w:val="center"/>
              <w:rPr>
                <w:rFonts w:ascii="宋体" w:hAnsi="宋体" w:cs="宋体"/>
                <w:color w:val="000000"/>
                <w:szCs w:val="21"/>
              </w:rPr>
            </w:pPr>
            <w:r>
              <w:rPr>
                <w:rFonts w:hint="eastAsia" w:ascii="宋体" w:hAnsi="宋体" w:cs="宋体"/>
                <w:color w:val="000000"/>
                <w:kern w:val="0"/>
                <w:szCs w:val="21"/>
              </w:rPr>
              <w:t>混合型</w:t>
            </w:r>
            <w:r>
              <w:rPr>
                <w:rFonts w:ascii="宋体" w:hAnsi="宋体" w:cs="宋体"/>
                <w:color w:val="000000"/>
                <w:kern w:val="0"/>
                <w:szCs w:val="21"/>
              </w:rPr>
              <w:t>主干道，</w:t>
            </w:r>
            <w:r>
              <w:rPr>
                <w:rFonts w:hint="eastAsia" w:ascii="宋体" w:hAnsi="宋体" w:cs="宋体"/>
                <w:color w:val="000000"/>
                <w:kern w:val="0"/>
                <w:szCs w:val="21"/>
              </w:rPr>
              <w:t>道路通达度一般，</w:t>
            </w:r>
            <w:r>
              <w:rPr>
                <w:rFonts w:ascii="宋体" w:hAnsi="宋体" w:cs="宋体"/>
                <w:color w:val="000000"/>
                <w:kern w:val="0"/>
                <w:szCs w:val="21"/>
              </w:rPr>
              <w:t>对外交通</w:t>
            </w:r>
            <w:r>
              <w:rPr>
                <w:rFonts w:hint="eastAsia" w:ascii="宋体" w:hAnsi="宋体" w:cs="宋体"/>
                <w:color w:val="000000"/>
                <w:kern w:val="0"/>
                <w:szCs w:val="21"/>
              </w:rPr>
              <w:t>一般</w:t>
            </w:r>
            <w:r>
              <w:rPr>
                <w:rFonts w:ascii="宋体" w:hAnsi="宋体" w:cs="宋体"/>
                <w:color w:val="000000"/>
                <w:kern w:val="0"/>
                <w:szCs w:val="21"/>
              </w:rPr>
              <w:t>便利</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5061">
            <w:pPr>
              <w:jc w:val="center"/>
              <w:textAlignment w:val="center"/>
              <w:rPr>
                <w:rFonts w:ascii="宋体" w:hAnsi="宋体" w:cs="宋体"/>
                <w:color w:val="000000"/>
                <w:szCs w:val="21"/>
              </w:rPr>
            </w:pPr>
            <w:r>
              <w:rPr>
                <w:rFonts w:hint="eastAsia" w:ascii="宋体" w:hAnsi="宋体" w:cs="宋体"/>
                <w:color w:val="000000"/>
                <w:kern w:val="0"/>
                <w:szCs w:val="21"/>
              </w:rPr>
              <w:t>临支路</w:t>
            </w:r>
            <w:r>
              <w:rPr>
                <w:rFonts w:ascii="宋体" w:hAnsi="宋体" w:cs="宋体"/>
                <w:color w:val="000000"/>
                <w:kern w:val="0"/>
                <w:szCs w:val="21"/>
              </w:rPr>
              <w:t>，</w:t>
            </w:r>
            <w:r>
              <w:rPr>
                <w:rFonts w:hint="eastAsia" w:ascii="宋体" w:hAnsi="宋体" w:cs="宋体"/>
                <w:color w:val="000000"/>
                <w:kern w:val="0"/>
                <w:szCs w:val="21"/>
              </w:rPr>
              <w:t>道路通达度较低，</w:t>
            </w:r>
            <w:r>
              <w:rPr>
                <w:rFonts w:ascii="宋体" w:hAnsi="宋体" w:cs="宋体"/>
                <w:color w:val="000000"/>
                <w:kern w:val="0"/>
                <w:szCs w:val="21"/>
              </w:rPr>
              <w:t>对外交通</w:t>
            </w:r>
            <w:r>
              <w:rPr>
                <w:rFonts w:hint="eastAsia" w:ascii="宋体" w:hAnsi="宋体" w:cs="宋体"/>
                <w:color w:val="000000"/>
                <w:kern w:val="0"/>
                <w:szCs w:val="21"/>
              </w:rPr>
              <w:t>较差</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908B">
            <w:pPr>
              <w:jc w:val="center"/>
              <w:textAlignment w:val="center"/>
              <w:rPr>
                <w:rFonts w:ascii="宋体" w:hAnsi="宋体" w:cs="宋体"/>
                <w:color w:val="000000"/>
                <w:szCs w:val="21"/>
              </w:rPr>
            </w:pPr>
            <w:r>
              <w:rPr>
                <w:rFonts w:hint="eastAsia" w:ascii="宋体" w:hAnsi="宋体" w:cs="宋体"/>
                <w:color w:val="000000"/>
                <w:kern w:val="0"/>
                <w:szCs w:val="21"/>
              </w:rPr>
              <w:t>不临路</w:t>
            </w:r>
            <w:r>
              <w:rPr>
                <w:rFonts w:ascii="宋体" w:hAnsi="宋体" w:cs="宋体"/>
                <w:color w:val="000000"/>
                <w:kern w:val="0"/>
                <w:szCs w:val="21"/>
              </w:rPr>
              <w:t>，</w:t>
            </w:r>
            <w:r>
              <w:rPr>
                <w:rFonts w:hint="eastAsia" w:ascii="宋体" w:hAnsi="宋体" w:cs="宋体"/>
                <w:color w:val="000000"/>
                <w:kern w:val="0"/>
                <w:szCs w:val="21"/>
              </w:rPr>
              <w:t>道路通达度低，</w:t>
            </w:r>
            <w:r>
              <w:rPr>
                <w:rFonts w:ascii="宋体" w:hAnsi="宋体" w:cs="宋体"/>
                <w:color w:val="000000"/>
                <w:kern w:val="0"/>
                <w:szCs w:val="21"/>
              </w:rPr>
              <w:t>对外交通</w:t>
            </w:r>
            <w:r>
              <w:rPr>
                <w:rFonts w:hint="eastAsia" w:ascii="宋体" w:hAnsi="宋体" w:cs="宋体"/>
                <w:color w:val="000000"/>
                <w:kern w:val="0"/>
                <w:szCs w:val="21"/>
              </w:rPr>
              <w:t>差</w:t>
            </w:r>
          </w:p>
        </w:tc>
      </w:tr>
      <w:tr w14:paraId="2749718B">
        <w:tblPrEx>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7056">
            <w:pPr>
              <w:jc w:val="center"/>
              <w:textAlignment w:val="top"/>
              <w:rPr>
                <w:rFonts w:ascii="宋体" w:hAnsi="宋体" w:cs="宋体"/>
                <w:color w:val="000000"/>
                <w:szCs w:val="21"/>
              </w:rPr>
            </w:pPr>
            <w:r>
              <w:rPr>
                <w:rFonts w:hint="eastAsia" w:ascii="宋体" w:hAnsi="宋体" w:cs="宋体"/>
                <w:color w:val="000000"/>
                <w:kern w:val="0"/>
                <w:szCs w:val="21"/>
              </w:rPr>
              <w:t>排水条件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FE2E">
            <w:pPr>
              <w:jc w:val="center"/>
              <w:textAlignment w:val="top"/>
              <w:rPr>
                <w:rFonts w:ascii="宋体" w:hAnsi="宋体" w:cs="宋体"/>
                <w:color w:val="000000"/>
                <w:szCs w:val="21"/>
              </w:rPr>
            </w:pPr>
            <w:r>
              <w:rPr>
                <w:rFonts w:hint="eastAsia" w:ascii="宋体" w:hAnsi="宋体" w:cs="宋体"/>
                <w:color w:val="000000"/>
                <w:kern w:val="0"/>
                <w:szCs w:val="21"/>
              </w:rPr>
              <w:t>0.06</w:t>
            </w:r>
            <w:r>
              <w:rPr>
                <w:rFonts w:ascii="宋体" w:hAnsi="宋体" w:cs="宋体"/>
                <w:color w:val="000000"/>
                <w:kern w:val="0"/>
                <w:szCs w:val="21"/>
              </w:rPr>
              <w:t>00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2C0B">
            <w:pPr>
              <w:jc w:val="center"/>
              <w:textAlignment w:val="center"/>
              <w:rPr>
                <w:rFonts w:ascii="宋体" w:hAnsi="宋体" w:cs="宋体"/>
                <w:color w:val="000000"/>
                <w:szCs w:val="21"/>
              </w:rPr>
            </w:pPr>
            <w:r>
              <w:rPr>
                <w:rFonts w:hint="eastAsia" w:ascii="宋体" w:hAnsi="宋体" w:cs="宋体"/>
                <w:color w:val="000000"/>
                <w:kern w:val="0"/>
                <w:szCs w:val="21"/>
              </w:rPr>
              <w:t>排水体系健全</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BF13">
            <w:pPr>
              <w:jc w:val="center"/>
              <w:textAlignment w:val="center"/>
              <w:rPr>
                <w:rFonts w:ascii="宋体" w:hAnsi="宋体" w:cs="宋体"/>
                <w:color w:val="000000"/>
                <w:szCs w:val="21"/>
              </w:rPr>
            </w:pPr>
            <w:r>
              <w:rPr>
                <w:rFonts w:hint="eastAsia" w:ascii="宋体" w:hAnsi="宋体" w:cs="宋体"/>
                <w:color w:val="000000"/>
                <w:kern w:val="0"/>
                <w:szCs w:val="21"/>
              </w:rPr>
              <w:t>排水体系基本健全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DD69">
            <w:pPr>
              <w:jc w:val="center"/>
              <w:textAlignment w:val="center"/>
              <w:rPr>
                <w:rFonts w:ascii="宋体" w:hAnsi="宋体" w:cs="宋体"/>
                <w:color w:val="000000"/>
                <w:szCs w:val="21"/>
              </w:rPr>
            </w:pPr>
            <w:r>
              <w:rPr>
                <w:rFonts w:hint="eastAsia" w:ascii="宋体" w:hAnsi="宋体" w:cs="宋体"/>
                <w:color w:val="000000"/>
                <w:kern w:val="0"/>
                <w:szCs w:val="21"/>
              </w:rPr>
              <w:t>排水体系一般健全</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0C65">
            <w:pPr>
              <w:jc w:val="center"/>
              <w:textAlignment w:val="center"/>
              <w:rPr>
                <w:rFonts w:ascii="宋体" w:hAnsi="宋体" w:cs="宋体"/>
                <w:color w:val="000000"/>
                <w:szCs w:val="21"/>
              </w:rPr>
            </w:pPr>
            <w:r>
              <w:rPr>
                <w:rFonts w:hint="eastAsia" w:ascii="宋体" w:hAnsi="宋体" w:cs="宋体"/>
                <w:color w:val="000000"/>
                <w:kern w:val="0"/>
                <w:szCs w:val="21"/>
              </w:rPr>
              <w:t>有排水体系，但</w:t>
            </w:r>
            <w:r>
              <w:rPr>
                <w:rFonts w:ascii="宋体" w:hAnsi="宋体" w:cs="宋体"/>
                <w:color w:val="000000"/>
                <w:kern w:val="0"/>
                <w:szCs w:val="21"/>
              </w:rPr>
              <w:t>排水体系较差</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2EF2">
            <w:pPr>
              <w:jc w:val="center"/>
              <w:textAlignment w:val="center"/>
              <w:rPr>
                <w:rFonts w:ascii="宋体" w:hAnsi="宋体" w:cs="宋体"/>
                <w:color w:val="000000"/>
                <w:szCs w:val="21"/>
              </w:rPr>
            </w:pPr>
            <w:r>
              <w:rPr>
                <w:rFonts w:hint="eastAsia" w:ascii="宋体" w:hAnsi="宋体" w:cs="宋体"/>
                <w:color w:val="000000"/>
                <w:kern w:val="0"/>
                <w:szCs w:val="21"/>
              </w:rPr>
              <w:t>无排水体系</w:t>
            </w:r>
          </w:p>
        </w:tc>
      </w:tr>
      <w:tr w14:paraId="49D46599">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5B2C">
            <w:pPr>
              <w:jc w:val="center"/>
              <w:textAlignment w:val="top"/>
              <w:rPr>
                <w:rFonts w:ascii="宋体" w:hAnsi="宋体" w:cs="宋体"/>
                <w:color w:val="000000"/>
                <w:szCs w:val="21"/>
              </w:rPr>
            </w:pPr>
            <w:r>
              <w:rPr>
                <w:rFonts w:hint="eastAsia" w:ascii="宋体" w:hAnsi="宋体" w:cs="宋体"/>
                <w:color w:val="000000"/>
                <w:kern w:val="0"/>
                <w:szCs w:val="21"/>
              </w:rPr>
              <w:t>灌溉保证率</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9C42">
            <w:pPr>
              <w:jc w:val="center"/>
              <w:textAlignment w:val="top"/>
              <w:rPr>
                <w:rFonts w:ascii="宋体" w:hAnsi="宋体" w:cs="宋体"/>
                <w:color w:val="000000"/>
                <w:szCs w:val="21"/>
              </w:rPr>
            </w:pPr>
            <w:r>
              <w:rPr>
                <w:rFonts w:hint="eastAsia" w:ascii="宋体" w:hAnsi="宋体" w:cs="宋体"/>
                <w:color w:val="000000"/>
                <w:kern w:val="0"/>
                <w:szCs w:val="21"/>
              </w:rPr>
              <w:t>0.06</w:t>
            </w:r>
            <w:r>
              <w:rPr>
                <w:rFonts w:ascii="宋体" w:hAnsi="宋体" w:cs="宋体"/>
                <w:color w:val="000000"/>
                <w:kern w:val="0"/>
                <w:szCs w:val="21"/>
              </w:rPr>
              <w:t>00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680C">
            <w:pPr>
              <w:jc w:val="center"/>
              <w:textAlignment w:val="center"/>
              <w:rPr>
                <w:rFonts w:ascii="宋体" w:hAnsi="宋体" w:cs="宋体"/>
                <w:color w:val="000000"/>
                <w:szCs w:val="21"/>
              </w:rPr>
            </w:pPr>
            <w:r>
              <w:rPr>
                <w:rFonts w:hint="eastAsia" w:ascii="宋体" w:hAnsi="宋体" w:cs="宋体"/>
                <w:color w:val="000000"/>
                <w:kern w:val="0"/>
                <w:szCs w:val="21"/>
              </w:rPr>
              <w:t>充分满足</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9C4F">
            <w:pPr>
              <w:jc w:val="center"/>
              <w:textAlignment w:val="center"/>
              <w:rPr>
                <w:rFonts w:ascii="宋体" w:hAnsi="宋体" w:cs="宋体"/>
                <w:color w:val="000000"/>
                <w:szCs w:val="21"/>
              </w:rPr>
            </w:pPr>
            <w:r>
              <w:rPr>
                <w:rFonts w:hint="eastAsia" w:ascii="宋体" w:hAnsi="宋体" w:cs="宋体"/>
                <w:color w:val="000000"/>
                <w:kern w:val="0"/>
                <w:szCs w:val="21"/>
              </w:rPr>
              <w:t>基本满足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C175">
            <w:pPr>
              <w:jc w:val="center"/>
              <w:textAlignment w:val="center"/>
              <w:rPr>
                <w:rFonts w:ascii="宋体" w:hAnsi="宋体" w:cs="宋体"/>
                <w:color w:val="000000"/>
                <w:szCs w:val="21"/>
              </w:rPr>
            </w:pPr>
            <w:r>
              <w:rPr>
                <w:rFonts w:hint="eastAsia" w:ascii="宋体" w:hAnsi="宋体" w:cs="宋体"/>
                <w:color w:val="000000"/>
                <w:kern w:val="0"/>
                <w:szCs w:val="21"/>
              </w:rPr>
              <w:t>一般满足</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4AD8">
            <w:pPr>
              <w:jc w:val="center"/>
              <w:textAlignment w:val="center"/>
              <w:rPr>
                <w:rFonts w:ascii="宋体" w:hAnsi="宋体" w:cs="宋体"/>
                <w:color w:val="000000"/>
                <w:szCs w:val="21"/>
              </w:rPr>
            </w:pPr>
            <w:r>
              <w:rPr>
                <w:rFonts w:hint="eastAsia" w:ascii="宋体" w:hAnsi="宋体" w:cs="宋体"/>
                <w:color w:val="000000"/>
                <w:kern w:val="0"/>
                <w:szCs w:val="21"/>
              </w:rPr>
              <w:t>较不能满足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DCB4">
            <w:pPr>
              <w:jc w:val="center"/>
              <w:textAlignment w:val="center"/>
              <w:rPr>
                <w:rFonts w:ascii="宋体" w:hAnsi="宋体" w:cs="宋体"/>
                <w:color w:val="000000"/>
                <w:szCs w:val="21"/>
              </w:rPr>
            </w:pPr>
            <w:r>
              <w:rPr>
                <w:rFonts w:hint="eastAsia" w:ascii="宋体" w:hAnsi="宋体" w:cs="宋体"/>
                <w:color w:val="000000"/>
                <w:kern w:val="0"/>
                <w:szCs w:val="21"/>
              </w:rPr>
              <w:t>难以满足</w:t>
            </w:r>
          </w:p>
        </w:tc>
      </w:tr>
      <w:tr w14:paraId="3E2BA8EB">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2EC3">
            <w:pPr>
              <w:jc w:val="center"/>
              <w:textAlignment w:val="top"/>
              <w:rPr>
                <w:rFonts w:ascii="宋体" w:hAnsi="宋体" w:cs="宋体"/>
                <w:color w:val="000000"/>
                <w:szCs w:val="21"/>
              </w:rPr>
            </w:pPr>
            <w:r>
              <w:rPr>
                <w:rFonts w:hint="eastAsia" w:ascii="宋体" w:hAnsi="宋体" w:cs="宋体"/>
                <w:color w:val="000000"/>
                <w:kern w:val="0"/>
                <w:szCs w:val="21"/>
              </w:rPr>
              <w:t>亩均资金投入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CADE">
            <w:pPr>
              <w:jc w:val="center"/>
              <w:textAlignment w:val="top"/>
              <w:rPr>
                <w:rFonts w:ascii="宋体" w:hAnsi="宋体" w:cs="宋体"/>
                <w:color w:val="000000"/>
                <w:szCs w:val="21"/>
              </w:rPr>
            </w:pPr>
            <w:r>
              <w:rPr>
                <w:rFonts w:hint="eastAsia" w:ascii="宋体" w:hAnsi="宋体" w:cs="宋体"/>
                <w:color w:val="000000"/>
                <w:kern w:val="0"/>
                <w:szCs w:val="21"/>
              </w:rPr>
              <w:t>0.06</w:t>
            </w:r>
            <w:r>
              <w:rPr>
                <w:rFonts w:ascii="宋体" w:hAnsi="宋体" w:cs="宋体"/>
                <w:color w:val="000000"/>
                <w:kern w:val="0"/>
                <w:szCs w:val="21"/>
              </w:rPr>
              <w:t>00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9DD8">
            <w:pPr>
              <w:jc w:val="center"/>
              <w:textAlignment w:val="center"/>
              <w:rPr>
                <w:rFonts w:ascii="宋体" w:hAnsi="宋体" w:cs="宋体"/>
                <w:color w:val="000000"/>
                <w:szCs w:val="21"/>
              </w:rPr>
            </w:pPr>
            <w:r>
              <w:rPr>
                <w:rFonts w:hint="eastAsia" w:ascii="宋体" w:hAnsi="宋体" w:cs="宋体"/>
                <w:color w:val="000000"/>
                <w:kern w:val="0"/>
                <w:szCs w:val="21"/>
              </w:rPr>
              <w:t>资金投入充足</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1E26">
            <w:pPr>
              <w:jc w:val="center"/>
              <w:textAlignment w:val="center"/>
              <w:rPr>
                <w:rFonts w:ascii="宋体" w:hAnsi="宋体" w:cs="宋体"/>
                <w:color w:val="000000"/>
                <w:szCs w:val="21"/>
              </w:rPr>
            </w:pPr>
            <w:r>
              <w:rPr>
                <w:rFonts w:hint="eastAsia" w:ascii="宋体" w:hAnsi="宋体" w:cs="宋体"/>
                <w:color w:val="000000"/>
                <w:kern w:val="0"/>
                <w:szCs w:val="21"/>
              </w:rPr>
              <w:t>资金投入较充足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C0FD">
            <w:pPr>
              <w:jc w:val="center"/>
              <w:textAlignment w:val="center"/>
              <w:rPr>
                <w:rFonts w:ascii="宋体" w:hAnsi="宋体" w:cs="宋体"/>
                <w:color w:val="000000"/>
                <w:szCs w:val="21"/>
              </w:rPr>
            </w:pPr>
            <w:r>
              <w:rPr>
                <w:rFonts w:hint="eastAsia" w:ascii="宋体" w:hAnsi="宋体" w:cs="宋体"/>
                <w:color w:val="000000"/>
                <w:kern w:val="0"/>
                <w:szCs w:val="21"/>
              </w:rPr>
              <w:t>资金投入一般</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E82C">
            <w:pPr>
              <w:jc w:val="center"/>
              <w:textAlignment w:val="center"/>
              <w:rPr>
                <w:rFonts w:ascii="宋体" w:hAnsi="宋体" w:cs="宋体"/>
                <w:color w:val="000000"/>
                <w:szCs w:val="21"/>
              </w:rPr>
            </w:pPr>
            <w:r>
              <w:rPr>
                <w:rFonts w:hint="eastAsia" w:ascii="宋体" w:hAnsi="宋体" w:cs="宋体"/>
                <w:color w:val="000000"/>
                <w:kern w:val="0"/>
                <w:szCs w:val="21"/>
              </w:rPr>
              <w:t>资金投入较</w:t>
            </w:r>
            <w:r>
              <w:rPr>
                <w:rFonts w:ascii="宋体" w:hAnsi="宋体" w:cs="宋体"/>
                <w:color w:val="000000"/>
                <w:kern w:val="0"/>
                <w:szCs w:val="21"/>
              </w:rPr>
              <w:t>不</w:t>
            </w:r>
            <w:r>
              <w:rPr>
                <w:rFonts w:hint="eastAsia" w:ascii="宋体" w:hAnsi="宋体" w:cs="宋体"/>
                <w:color w:val="000000"/>
                <w:kern w:val="0"/>
                <w:szCs w:val="21"/>
              </w:rPr>
              <w:t>充足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5B45">
            <w:pPr>
              <w:jc w:val="center"/>
              <w:textAlignment w:val="center"/>
              <w:rPr>
                <w:rFonts w:ascii="宋体" w:hAnsi="宋体" w:cs="宋体"/>
                <w:color w:val="000000"/>
                <w:szCs w:val="21"/>
              </w:rPr>
            </w:pPr>
            <w:r>
              <w:rPr>
                <w:rFonts w:hint="eastAsia" w:ascii="宋体" w:hAnsi="宋体" w:cs="宋体"/>
                <w:color w:val="000000"/>
                <w:kern w:val="0"/>
                <w:szCs w:val="21"/>
              </w:rPr>
              <w:t>资金投入不足</w:t>
            </w:r>
          </w:p>
        </w:tc>
      </w:tr>
      <w:tr w14:paraId="3C511AAA">
        <w:tblPrEx>
          <w:tblCellMar>
            <w:top w:w="15" w:type="dxa"/>
            <w:left w:w="15" w:type="dxa"/>
            <w:bottom w:w="15" w:type="dxa"/>
            <w:right w:w="15" w:type="dxa"/>
          </w:tblCellMar>
        </w:tblPrEx>
        <w:trPr>
          <w:trHeight w:val="57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5E73">
            <w:pPr>
              <w:jc w:val="center"/>
              <w:textAlignment w:val="top"/>
              <w:rPr>
                <w:rFonts w:ascii="宋体" w:hAnsi="宋体" w:cs="宋体"/>
                <w:color w:val="000000"/>
                <w:szCs w:val="21"/>
              </w:rPr>
            </w:pPr>
            <w:r>
              <w:rPr>
                <w:rFonts w:hint="eastAsia" w:ascii="宋体" w:hAnsi="宋体" w:cs="宋体"/>
                <w:color w:val="000000"/>
                <w:kern w:val="0"/>
                <w:szCs w:val="21"/>
              </w:rPr>
              <w:t>亩均纯收益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2347">
            <w:pPr>
              <w:jc w:val="center"/>
              <w:textAlignment w:val="top"/>
              <w:rPr>
                <w:rFonts w:ascii="宋体" w:hAnsi="宋体" w:cs="宋体"/>
                <w:color w:val="000000"/>
                <w:szCs w:val="21"/>
              </w:rPr>
            </w:pPr>
            <w:r>
              <w:rPr>
                <w:rFonts w:hint="eastAsia" w:ascii="宋体" w:hAnsi="宋体" w:cs="宋体"/>
                <w:color w:val="000000"/>
                <w:kern w:val="0"/>
                <w:szCs w:val="21"/>
              </w:rPr>
              <w:t>0.06</w:t>
            </w:r>
            <w:r>
              <w:rPr>
                <w:rFonts w:ascii="宋体" w:hAnsi="宋体" w:cs="宋体"/>
                <w:color w:val="000000"/>
                <w:kern w:val="0"/>
                <w:szCs w:val="21"/>
              </w:rPr>
              <w:t>00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90FA">
            <w:pPr>
              <w:jc w:val="center"/>
              <w:textAlignment w:val="center"/>
              <w:rPr>
                <w:rFonts w:ascii="宋体" w:hAnsi="宋体" w:cs="宋体"/>
                <w:color w:val="000000"/>
                <w:szCs w:val="21"/>
              </w:rPr>
            </w:pPr>
            <w:r>
              <w:rPr>
                <w:rFonts w:hint="eastAsia" w:ascii="宋体" w:hAnsi="宋体" w:cs="宋体"/>
                <w:color w:val="000000"/>
                <w:kern w:val="0"/>
                <w:szCs w:val="21"/>
              </w:rPr>
              <w:t>耕地收益</w:t>
            </w:r>
            <w:r>
              <w:rPr>
                <w:rFonts w:ascii="宋体" w:hAnsi="宋体" w:cs="宋体"/>
                <w:color w:val="000000"/>
                <w:kern w:val="0"/>
                <w:szCs w:val="21"/>
              </w:rPr>
              <w:t>好</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4D5A">
            <w:pPr>
              <w:jc w:val="center"/>
              <w:textAlignment w:val="center"/>
              <w:rPr>
                <w:rFonts w:ascii="宋体" w:hAnsi="宋体" w:cs="宋体"/>
                <w:color w:val="000000"/>
                <w:szCs w:val="21"/>
              </w:rPr>
            </w:pPr>
            <w:r>
              <w:rPr>
                <w:rFonts w:hint="eastAsia" w:ascii="宋体" w:hAnsi="宋体" w:cs="宋体"/>
                <w:color w:val="000000"/>
                <w:kern w:val="0"/>
                <w:szCs w:val="21"/>
              </w:rPr>
              <w:t>耕地收益较</w:t>
            </w:r>
            <w:r>
              <w:rPr>
                <w:rFonts w:ascii="宋体" w:hAnsi="宋体" w:cs="宋体"/>
                <w:color w:val="000000"/>
                <w:kern w:val="0"/>
                <w:szCs w:val="21"/>
              </w:rPr>
              <w:t>好</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F08C">
            <w:pPr>
              <w:jc w:val="center"/>
              <w:textAlignment w:val="center"/>
              <w:rPr>
                <w:rFonts w:ascii="宋体" w:hAnsi="宋体" w:cs="宋体"/>
                <w:color w:val="000000"/>
                <w:szCs w:val="21"/>
              </w:rPr>
            </w:pPr>
            <w:r>
              <w:rPr>
                <w:rFonts w:hint="eastAsia" w:ascii="宋体" w:hAnsi="宋体" w:cs="宋体"/>
                <w:color w:val="000000"/>
                <w:kern w:val="0"/>
                <w:szCs w:val="21"/>
              </w:rPr>
              <w:t>耕地收益一般</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113F">
            <w:pPr>
              <w:jc w:val="center"/>
              <w:textAlignment w:val="center"/>
              <w:rPr>
                <w:rFonts w:ascii="宋体" w:hAnsi="宋体" w:cs="宋体"/>
                <w:color w:val="000000"/>
                <w:szCs w:val="21"/>
              </w:rPr>
            </w:pPr>
            <w:r>
              <w:rPr>
                <w:rFonts w:hint="eastAsia" w:ascii="宋体" w:hAnsi="宋体" w:cs="宋体"/>
                <w:color w:val="000000"/>
                <w:kern w:val="0"/>
                <w:szCs w:val="21"/>
              </w:rPr>
              <w:t>耕地收益较低</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16E1">
            <w:pPr>
              <w:jc w:val="center"/>
              <w:textAlignment w:val="center"/>
              <w:rPr>
                <w:rFonts w:ascii="宋体" w:hAnsi="宋体" w:cs="宋体"/>
                <w:color w:val="000000"/>
                <w:szCs w:val="21"/>
              </w:rPr>
            </w:pPr>
            <w:r>
              <w:rPr>
                <w:rFonts w:hint="eastAsia" w:ascii="宋体" w:hAnsi="宋体" w:cs="宋体"/>
                <w:color w:val="000000"/>
                <w:kern w:val="0"/>
                <w:szCs w:val="21"/>
              </w:rPr>
              <w:t>耕地无收益</w:t>
            </w:r>
          </w:p>
        </w:tc>
      </w:tr>
    </w:tbl>
    <w:p w14:paraId="3608EF3B">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249" w:name="_Toc47384653"/>
      <w:r>
        <w:rPr>
          <w:rFonts w:hint="eastAsia" w:ascii="宋体" w:hAnsi="宋体"/>
          <w:bCs/>
          <w:kern w:val="2"/>
          <w:szCs w:val="28"/>
        </w:rPr>
        <w:t>5</w:t>
      </w:r>
      <w:r>
        <w:rPr>
          <w:rFonts w:ascii="宋体" w:hAnsi="宋体"/>
          <w:bCs/>
          <w:kern w:val="2"/>
          <w:szCs w:val="28"/>
        </w:rPr>
        <w:t xml:space="preserve">.3 </w:t>
      </w:r>
      <w:r>
        <w:rPr>
          <w:rFonts w:hint="eastAsia" w:ascii="宋体" w:hAnsi="宋体"/>
          <w:bCs/>
          <w:kern w:val="2"/>
          <w:szCs w:val="28"/>
        </w:rPr>
        <w:t>个别因素修正</w:t>
      </w:r>
      <w:bookmarkEnd w:id="249"/>
    </w:p>
    <w:p w14:paraId="533F0981">
      <w:pPr>
        <w:pStyle w:val="4"/>
        <w:widowControl w:val="0"/>
        <w:tabs>
          <w:tab w:val="left" w:pos="720"/>
        </w:tabs>
        <w:spacing w:before="120" w:after="120" w:line="500" w:lineRule="exact"/>
        <w:ind w:left="826" w:hanging="826"/>
        <w:jc w:val="both"/>
        <w:rPr>
          <w:rFonts w:ascii="宋体" w:hAnsi="宋体"/>
          <w:sz w:val="24"/>
          <w:szCs w:val="24"/>
        </w:rPr>
      </w:pPr>
      <w:bookmarkStart w:id="250" w:name="_Toc535399965"/>
      <w:bookmarkStart w:id="251" w:name="_Toc47384654"/>
      <w:r>
        <w:rPr>
          <w:rFonts w:hint="eastAsia" w:ascii="宋体" w:hAnsi="宋体"/>
          <w:sz w:val="24"/>
          <w:szCs w:val="24"/>
        </w:rPr>
        <w:t>5.3.1 国有农用地利用影响因素修正</w:t>
      </w:r>
      <w:bookmarkEnd w:id="250"/>
      <w:bookmarkEnd w:id="251"/>
    </w:p>
    <w:p w14:paraId="59567E77">
      <w:pPr>
        <w:spacing w:line="360" w:lineRule="auto"/>
        <w:ind w:firstLine="480" w:firstLineChars="200"/>
        <w:rPr>
          <w:rFonts w:ascii="宋体" w:hAnsi="宋体" w:cs="宋体"/>
          <w:sz w:val="24"/>
          <w:szCs w:val="28"/>
        </w:rPr>
      </w:pPr>
      <w:r>
        <w:rPr>
          <w:rFonts w:hint="eastAsia" w:ascii="宋体" w:hAnsi="宋体" w:cs="宋体"/>
          <w:sz w:val="24"/>
          <w:szCs w:val="28"/>
        </w:rPr>
        <w:t>选取农田水利设施、地块形状和地块面积进行个别因素修正。</w:t>
      </w:r>
    </w:p>
    <w:p w14:paraId="4F0400A2">
      <w:pPr>
        <w:pStyle w:val="180"/>
        <w:ind w:firstLine="439" w:firstLineChars="183"/>
      </w:pPr>
      <w:r>
        <w:rPr>
          <w:rFonts w:hint="eastAsia"/>
        </w:rPr>
        <w:t>（1）农田水利设施修正</w:t>
      </w:r>
    </w:p>
    <w:p w14:paraId="3DF6FF4C">
      <w:pPr>
        <w:spacing w:line="360" w:lineRule="auto"/>
        <w:rPr>
          <w:rFonts w:ascii="宋体" w:hAnsi="宋体" w:cs="宋体"/>
          <w:sz w:val="24"/>
          <w:szCs w:val="28"/>
        </w:rPr>
      </w:pPr>
      <w:r>
        <w:rPr>
          <w:rFonts w:hint="eastAsia" w:ascii="宋体" w:hAnsi="宋体" w:cs="宋体"/>
          <w:sz w:val="24"/>
          <w:szCs w:val="28"/>
        </w:rPr>
        <w:t>农田水利设施是影响区域土地利用效率的因素之一，具体修正系数见表5</w:t>
      </w:r>
      <w:r>
        <w:rPr>
          <w:rFonts w:ascii="宋体" w:hAnsi="宋体" w:cs="宋体"/>
          <w:sz w:val="24"/>
          <w:szCs w:val="28"/>
        </w:rPr>
        <w:t>-7</w:t>
      </w:r>
      <w:r>
        <w:rPr>
          <w:rFonts w:hint="eastAsia" w:ascii="宋体" w:hAnsi="宋体" w:cs="宋体"/>
          <w:sz w:val="24"/>
          <w:szCs w:val="28"/>
        </w:rPr>
        <w:t>。</w:t>
      </w:r>
    </w:p>
    <w:p w14:paraId="10CA7EA0">
      <w:pPr>
        <w:ind w:firstLine="422"/>
        <w:jc w:val="center"/>
        <w:rPr>
          <w:b/>
          <w:szCs w:val="21"/>
        </w:rPr>
      </w:pPr>
    </w:p>
    <w:p w14:paraId="56B55147">
      <w:pPr>
        <w:ind w:firstLine="422"/>
        <w:jc w:val="center"/>
        <w:rPr>
          <w:b/>
          <w:szCs w:val="21"/>
        </w:rPr>
      </w:pPr>
    </w:p>
    <w:p w14:paraId="592AA11C">
      <w:pPr>
        <w:ind w:firstLine="422"/>
        <w:jc w:val="center"/>
        <w:rPr>
          <w:b/>
          <w:szCs w:val="21"/>
        </w:rPr>
      </w:pPr>
      <w:r>
        <w:rPr>
          <w:rFonts w:hint="eastAsia"/>
          <w:b/>
          <w:szCs w:val="21"/>
        </w:rPr>
        <w:t>表5-7  鄂州市国有农用地农田水利设施修正系数</w:t>
      </w:r>
    </w:p>
    <w:tbl>
      <w:tblPr>
        <w:tblStyle w:val="40"/>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558"/>
        <w:gridCol w:w="1460"/>
        <w:gridCol w:w="1460"/>
        <w:gridCol w:w="1460"/>
        <w:gridCol w:w="1461"/>
      </w:tblGrid>
      <w:tr w14:paraId="38E9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276" w:type="dxa"/>
            <w:vAlign w:val="center"/>
          </w:tcPr>
          <w:p w14:paraId="2945B1BA">
            <w:pPr>
              <w:jc w:val="center"/>
              <w:rPr>
                <w:rFonts w:ascii="宋体" w:hAnsi="宋体" w:cs="宋体"/>
              </w:rPr>
            </w:pPr>
            <w:r>
              <w:rPr>
                <w:rFonts w:hint="eastAsia" w:ascii="宋体" w:hAnsi="宋体" w:cs="宋体"/>
              </w:rPr>
              <w:t>指标标准</w:t>
            </w:r>
          </w:p>
        </w:tc>
        <w:tc>
          <w:tcPr>
            <w:tcW w:w="1558" w:type="dxa"/>
            <w:vAlign w:val="center"/>
          </w:tcPr>
          <w:p w14:paraId="316E7575">
            <w:pPr>
              <w:jc w:val="center"/>
              <w:rPr>
                <w:rFonts w:ascii="宋体" w:hAnsi="宋体" w:cs="宋体"/>
              </w:rPr>
            </w:pPr>
            <w:r>
              <w:rPr>
                <w:rFonts w:hint="eastAsia" w:ascii="宋体" w:hAnsi="宋体" w:cs="宋体"/>
              </w:rPr>
              <w:t>优</w:t>
            </w:r>
          </w:p>
        </w:tc>
        <w:tc>
          <w:tcPr>
            <w:tcW w:w="1460" w:type="dxa"/>
            <w:vAlign w:val="center"/>
          </w:tcPr>
          <w:p w14:paraId="1D7AAFE0">
            <w:pPr>
              <w:jc w:val="center"/>
              <w:rPr>
                <w:rFonts w:ascii="宋体" w:hAnsi="宋体" w:cs="宋体"/>
              </w:rPr>
            </w:pPr>
            <w:r>
              <w:rPr>
                <w:rFonts w:hint="eastAsia" w:ascii="宋体" w:hAnsi="宋体" w:cs="宋体"/>
              </w:rPr>
              <w:t>较优</w:t>
            </w:r>
          </w:p>
        </w:tc>
        <w:tc>
          <w:tcPr>
            <w:tcW w:w="1460" w:type="dxa"/>
            <w:vAlign w:val="center"/>
          </w:tcPr>
          <w:p w14:paraId="0CD67675">
            <w:pPr>
              <w:jc w:val="center"/>
              <w:rPr>
                <w:rFonts w:ascii="宋体" w:hAnsi="宋体" w:cs="宋体"/>
              </w:rPr>
            </w:pPr>
            <w:r>
              <w:rPr>
                <w:rFonts w:hint="eastAsia" w:ascii="宋体" w:hAnsi="宋体" w:cs="宋体"/>
              </w:rPr>
              <w:t>一般</w:t>
            </w:r>
          </w:p>
        </w:tc>
        <w:tc>
          <w:tcPr>
            <w:tcW w:w="1460" w:type="dxa"/>
            <w:vAlign w:val="center"/>
          </w:tcPr>
          <w:p w14:paraId="16D709AF">
            <w:pPr>
              <w:jc w:val="center"/>
              <w:rPr>
                <w:rFonts w:ascii="宋体" w:hAnsi="宋体" w:cs="宋体"/>
              </w:rPr>
            </w:pPr>
            <w:r>
              <w:rPr>
                <w:rFonts w:hint="eastAsia" w:ascii="宋体" w:hAnsi="宋体" w:cs="宋体"/>
              </w:rPr>
              <w:t>较劣</w:t>
            </w:r>
          </w:p>
        </w:tc>
        <w:tc>
          <w:tcPr>
            <w:tcW w:w="1461" w:type="dxa"/>
            <w:vAlign w:val="center"/>
          </w:tcPr>
          <w:p w14:paraId="26785231">
            <w:pPr>
              <w:jc w:val="center"/>
              <w:rPr>
                <w:rFonts w:ascii="宋体" w:hAnsi="宋体" w:cs="宋体"/>
              </w:rPr>
            </w:pPr>
            <w:r>
              <w:rPr>
                <w:rFonts w:hint="eastAsia" w:ascii="宋体" w:hAnsi="宋体" w:cs="宋体"/>
              </w:rPr>
              <w:t>劣</w:t>
            </w:r>
          </w:p>
        </w:tc>
      </w:tr>
      <w:tr w14:paraId="087C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1276" w:type="dxa"/>
            <w:vAlign w:val="center"/>
          </w:tcPr>
          <w:p w14:paraId="289C0491">
            <w:pPr>
              <w:jc w:val="center"/>
              <w:rPr>
                <w:rFonts w:ascii="宋体" w:hAnsi="宋体" w:cs="宋体"/>
              </w:rPr>
            </w:pPr>
            <w:r>
              <w:rPr>
                <w:rFonts w:hint="eastAsia" w:ascii="宋体" w:hAnsi="宋体" w:cs="宋体"/>
              </w:rPr>
              <w:t>指标标准说明</w:t>
            </w:r>
          </w:p>
        </w:tc>
        <w:tc>
          <w:tcPr>
            <w:tcW w:w="1558" w:type="dxa"/>
            <w:vAlign w:val="center"/>
          </w:tcPr>
          <w:p w14:paraId="51AB7506">
            <w:pPr>
              <w:jc w:val="center"/>
              <w:rPr>
                <w:rFonts w:ascii="宋体" w:hAnsi="宋体" w:cs="宋体"/>
              </w:rPr>
            </w:pPr>
            <w:r>
              <w:rPr>
                <w:rFonts w:hint="eastAsia" w:ascii="宋体" w:hAnsi="宋体" w:cs="宋体"/>
              </w:rPr>
              <w:t>灌溉、排水沟、机械化渠等农田水利设施较完善</w:t>
            </w:r>
          </w:p>
        </w:tc>
        <w:tc>
          <w:tcPr>
            <w:tcW w:w="1460" w:type="dxa"/>
            <w:vAlign w:val="center"/>
          </w:tcPr>
          <w:p w14:paraId="30DBDB7E">
            <w:pPr>
              <w:jc w:val="center"/>
              <w:rPr>
                <w:rFonts w:ascii="宋体" w:hAnsi="宋体" w:cs="宋体"/>
              </w:rPr>
            </w:pPr>
            <w:r>
              <w:rPr>
                <w:rFonts w:hint="eastAsia" w:ascii="宋体" w:hAnsi="宋体" w:cs="宋体"/>
              </w:rPr>
              <w:t>灌溉、排水沟、机械化渠等农田水利设施完善</w:t>
            </w:r>
          </w:p>
        </w:tc>
        <w:tc>
          <w:tcPr>
            <w:tcW w:w="1460" w:type="dxa"/>
            <w:vAlign w:val="center"/>
          </w:tcPr>
          <w:p w14:paraId="30FCDE96">
            <w:pPr>
              <w:jc w:val="center"/>
              <w:rPr>
                <w:rFonts w:ascii="宋体" w:hAnsi="宋体" w:cs="宋体"/>
              </w:rPr>
            </w:pPr>
            <w:r>
              <w:rPr>
                <w:rFonts w:hint="eastAsia" w:ascii="宋体" w:hAnsi="宋体" w:cs="宋体"/>
              </w:rPr>
              <w:t>灌溉、排水沟、机械化渠等农田水利设施基本配套</w:t>
            </w:r>
          </w:p>
        </w:tc>
        <w:tc>
          <w:tcPr>
            <w:tcW w:w="1460" w:type="dxa"/>
            <w:vAlign w:val="center"/>
          </w:tcPr>
          <w:p w14:paraId="7853B9E3">
            <w:pPr>
              <w:jc w:val="center"/>
              <w:rPr>
                <w:rFonts w:ascii="宋体" w:hAnsi="宋体" w:cs="宋体"/>
              </w:rPr>
            </w:pPr>
            <w:r>
              <w:rPr>
                <w:rFonts w:hint="eastAsia" w:ascii="宋体" w:hAnsi="宋体" w:cs="宋体"/>
              </w:rPr>
              <w:t>灌溉、排水沟、机械化渠等农田水利设施较差</w:t>
            </w:r>
          </w:p>
        </w:tc>
        <w:tc>
          <w:tcPr>
            <w:tcW w:w="1461" w:type="dxa"/>
            <w:vAlign w:val="center"/>
          </w:tcPr>
          <w:p w14:paraId="733AD352">
            <w:pPr>
              <w:jc w:val="center"/>
              <w:rPr>
                <w:rFonts w:ascii="宋体" w:hAnsi="宋体" w:cs="宋体"/>
              </w:rPr>
            </w:pPr>
            <w:r>
              <w:rPr>
                <w:rFonts w:hint="eastAsia" w:ascii="宋体" w:hAnsi="宋体" w:cs="宋体"/>
              </w:rPr>
              <w:t>灌溉、排水沟、机械化渠等农田水利设施欠缺</w:t>
            </w:r>
          </w:p>
        </w:tc>
      </w:tr>
      <w:tr w14:paraId="1DF0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76" w:type="dxa"/>
            <w:vAlign w:val="center"/>
          </w:tcPr>
          <w:p w14:paraId="3BFAD74A">
            <w:pPr>
              <w:jc w:val="center"/>
              <w:rPr>
                <w:rFonts w:ascii="宋体" w:hAnsi="宋体" w:cs="宋体"/>
              </w:rPr>
            </w:pPr>
            <w:r>
              <w:rPr>
                <w:rFonts w:hint="eastAsia" w:ascii="宋体" w:hAnsi="宋体" w:cs="宋体"/>
              </w:rPr>
              <w:t>修正系数</w:t>
            </w:r>
          </w:p>
        </w:tc>
        <w:tc>
          <w:tcPr>
            <w:tcW w:w="1558" w:type="dxa"/>
            <w:vAlign w:val="center"/>
          </w:tcPr>
          <w:p w14:paraId="0080E120">
            <w:pPr>
              <w:jc w:val="center"/>
              <w:rPr>
                <w:rFonts w:ascii="宋体" w:hAnsi="宋体" w:cs="宋体"/>
              </w:rPr>
            </w:pPr>
            <w:r>
              <w:rPr>
                <w:rFonts w:hint="eastAsia" w:ascii="宋体" w:hAnsi="宋体" w:cs="宋体"/>
              </w:rPr>
              <w:t>1.09</w:t>
            </w:r>
          </w:p>
        </w:tc>
        <w:tc>
          <w:tcPr>
            <w:tcW w:w="1460" w:type="dxa"/>
            <w:vAlign w:val="center"/>
          </w:tcPr>
          <w:p w14:paraId="6B5059D5">
            <w:pPr>
              <w:jc w:val="center"/>
              <w:rPr>
                <w:rFonts w:ascii="宋体" w:hAnsi="宋体" w:cs="宋体"/>
              </w:rPr>
            </w:pPr>
            <w:r>
              <w:rPr>
                <w:rFonts w:hint="eastAsia" w:ascii="宋体" w:hAnsi="宋体" w:cs="宋体"/>
              </w:rPr>
              <w:t>1.05</w:t>
            </w:r>
          </w:p>
        </w:tc>
        <w:tc>
          <w:tcPr>
            <w:tcW w:w="1460" w:type="dxa"/>
            <w:vAlign w:val="center"/>
          </w:tcPr>
          <w:p w14:paraId="501EA760">
            <w:pPr>
              <w:jc w:val="center"/>
              <w:rPr>
                <w:rFonts w:ascii="宋体" w:hAnsi="宋体" w:cs="宋体"/>
              </w:rPr>
            </w:pPr>
            <w:r>
              <w:rPr>
                <w:rFonts w:hint="eastAsia" w:ascii="宋体" w:hAnsi="宋体" w:cs="宋体"/>
              </w:rPr>
              <w:t>1</w:t>
            </w:r>
          </w:p>
        </w:tc>
        <w:tc>
          <w:tcPr>
            <w:tcW w:w="1460" w:type="dxa"/>
            <w:vAlign w:val="center"/>
          </w:tcPr>
          <w:p w14:paraId="2F5CA1BD">
            <w:pPr>
              <w:jc w:val="center"/>
              <w:rPr>
                <w:rFonts w:ascii="宋体" w:hAnsi="宋体" w:cs="宋体"/>
              </w:rPr>
            </w:pPr>
            <w:r>
              <w:rPr>
                <w:rFonts w:hint="eastAsia" w:ascii="宋体" w:hAnsi="宋体" w:cs="宋体"/>
              </w:rPr>
              <w:t>0.98</w:t>
            </w:r>
          </w:p>
        </w:tc>
        <w:tc>
          <w:tcPr>
            <w:tcW w:w="1461" w:type="dxa"/>
            <w:vAlign w:val="center"/>
          </w:tcPr>
          <w:p w14:paraId="46ABB1AD">
            <w:pPr>
              <w:jc w:val="center"/>
              <w:rPr>
                <w:rFonts w:ascii="宋体" w:hAnsi="宋体" w:cs="宋体"/>
              </w:rPr>
            </w:pPr>
            <w:r>
              <w:rPr>
                <w:rFonts w:hint="eastAsia" w:ascii="宋体" w:hAnsi="宋体" w:cs="宋体"/>
              </w:rPr>
              <w:t>0.96</w:t>
            </w:r>
          </w:p>
        </w:tc>
      </w:tr>
    </w:tbl>
    <w:p w14:paraId="0D3481E2">
      <w:pPr>
        <w:pStyle w:val="180"/>
        <w:ind w:firstLine="480"/>
      </w:pPr>
      <w:r>
        <w:rPr>
          <w:rFonts w:hint="eastAsia"/>
        </w:rPr>
        <w:t>（2）地块形状修正</w:t>
      </w:r>
    </w:p>
    <w:p w14:paraId="439B7624">
      <w:pPr>
        <w:spacing w:line="360" w:lineRule="auto"/>
        <w:ind w:firstLine="480" w:firstLineChars="200"/>
        <w:rPr>
          <w:rFonts w:ascii="宋体" w:hAnsi="宋体" w:cs="宋体"/>
          <w:sz w:val="24"/>
          <w:szCs w:val="28"/>
        </w:rPr>
      </w:pPr>
      <w:r>
        <w:rPr>
          <w:rFonts w:hint="eastAsia" w:ascii="宋体" w:hAnsi="宋体" w:cs="宋体"/>
          <w:sz w:val="24"/>
          <w:szCs w:val="28"/>
        </w:rPr>
        <w:t>宗地形状对宗地的使用也有一定的影响，具体修正系数见</w:t>
      </w:r>
      <w:r>
        <w:rPr>
          <w:rFonts w:ascii="宋体" w:hAnsi="宋体" w:cs="宋体"/>
          <w:sz w:val="24"/>
          <w:szCs w:val="28"/>
        </w:rPr>
        <w:t>表</w:t>
      </w:r>
      <w:r>
        <w:rPr>
          <w:rFonts w:hint="eastAsia" w:ascii="宋体" w:hAnsi="宋体" w:cs="宋体"/>
          <w:sz w:val="24"/>
          <w:szCs w:val="28"/>
        </w:rPr>
        <w:t>5</w:t>
      </w:r>
      <w:r>
        <w:rPr>
          <w:rFonts w:ascii="宋体" w:hAnsi="宋体" w:cs="宋体"/>
          <w:sz w:val="24"/>
          <w:szCs w:val="28"/>
        </w:rPr>
        <w:t>-8</w:t>
      </w:r>
      <w:r>
        <w:rPr>
          <w:rFonts w:hint="eastAsia" w:ascii="宋体" w:hAnsi="宋体" w:cs="宋体"/>
          <w:sz w:val="24"/>
          <w:szCs w:val="28"/>
        </w:rPr>
        <w:t>。</w:t>
      </w:r>
    </w:p>
    <w:p w14:paraId="57DFC75B">
      <w:pPr>
        <w:ind w:firstLine="422"/>
        <w:jc w:val="center"/>
        <w:rPr>
          <w:b/>
          <w:szCs w:val="21"/>
        </w:rPr>
      </w:pPr>
      <w:r>
        <w:rPr>
          <w:rFonts w:hint="eastAsia"/>
          <w:b/>
          <w:szCs w:val="21"/>
        </w:rPr>
        <w:t>表5-8  鄂州市国有农用地地块形状修正系数</w:t>
      </w:r>
    </w:p>
    <w:tbl>
      <w:tblPr>
        <w:tblStyle w:val="4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433"/>
        <w:gridCol w:w="1433"/>
        <w:gridCol w:w="1433"/>
        <w:gridCol w:w="1434"/>
        <w:gridCol w:w="1434"/>
      </w:tblGrid>
      <w:tr w14:paraId="34AC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33" w:type="dxa"/>
            <w:vAlign w:val="center"/>
          </w:tcPr>
          <w:p w14:paraId="051F9CE1">
            <w:pPr>
              <w:jc w:val="center"/>
              <w:rPr>
                <w:rFonts w:ascii="宋体" w:hAnsi="宋体" w:cs="宋体"/>
                <w:szCs w:val="21"/>
              </w:rPr>
            </w:pPr>
            <w:r>
              <w:rPr>
                <w:rFonts w:hint="eastAsia" w:ascii="宋体" w:hAnsi="宋体" w:cs="宋体"/>
                <w:szCs w:val="21"/>
              </w:rPr>
              <w:t>指标标准</w:t>
            </w:r>
          </w:p>
        </w:tc>
        <w:tc>
          <w:tcPr>
            <w:tcW w:w="1433" w:type="dxa"/>
            <w:vAlign w:val="center"/>
          </w:tcPr>
          <w:p w14:paraId="67D85362">
            <w:pPr>
              <w:jc w:val="center"/>
              <w:rPr>
                <w:rFonts w:ascii="宋体" w:hAnsi="宋体" w:cs="宋体"/>
                <w:szCs w:val="21"/>
              </w:rPr>
            </w:pPr>
            <w:r>
              <w:rPr>
                <w:rFonts w:hint="eastAsia" w:ascii="宋体" w:hAnsi="宋体" w:cs="宋体"/>
                <w:szCs w:val="21"/>
              </w:rPr>
              <w:t>优</w:t>
            </w:r>
          </w:p>
        </w:tc>
        <w:tc>
          <w:tcPr>
            <w:tcW w:w="1433" w:type="dxa"/>
            <w:vAlign w:val="center"/>
          </w:tcPr>
          <w:p w14:paraId="635E0E27">
            <w:pPr>
              <w:jc w:val="center"/>
              <w:rPr>
                <w:rFonts w:ascii="宋体" w:hAnsi="宋体" w:cs="宋体"/>
                <w:szCs w:val="21"/>
              </w:rPr>
            </w:pPr>
            <w:r>
              <w:rPr>
                <w:rFonts w:hint="eastAsia" w:ascii="宋体" w:hAnsi="宋体" w:cs="宋体"/>
                <w:szCs w:val="21"/>
              </w:rPr>
              <w:t>较优</w:t>
            </w:r>
          </w:p>
        </w:tc>
        <w:tc>
          <w:tcPr>
            <w:tcW w:w="1433" w:type="dxa"/>
            <w:vAlign w:val="center"/>
          </w:tcPr>
          <w:p w14:paraId="52328E60">
            <w:pPr>
              <w:jc w:val="center"/>
              <w:rPr>
                <w:rFonts w:ascii="宋体" w:hAnsi="宋体" w:cs="宋体"/>
                <w:szCs w:val="21"/>
              </w:rPr>
            </w:pPr>
            <w:r>
              <w:rPr>
                <w:rFonts w:hint="eastAsia" w:ascii="宋体" w:hAnsi="宋体" w:cs="宋体"/>
                <w:szCs w:val="21"/>
              </w:rPr>
              <w:t>一般</w:t>
            </w:r>
          </w:p>
        </w:tc>
        <w:tc>
          <w:tcPr>
            <w:tcW w:w="1434" w:type="dxa"/>
            <w:vAlign w:val="center"/>
          </w:tcPr>
          <w:p w14:paraId="1A538553">
            <w:pPr>
              <w:jc w:val="center"/>
              <w:rPr>
                <w:rFonts w:ascii="宋体" w:hAnsi="宋体" w:cs="宋体"/>
                <w:szCs w:val="21"/>
              </w:rPr>
            </w:pPr>
            <w:r>
              <w:rPr>
                <w:rFonts w:hint="eastAsia" w:ascii="宋体" w:hAnsi="宋体" w:cs="宋体"/>
                <w:szCs w:val="21"/>
              </w:rPr>
              <w:t>较劣</w:t>
            </w:r>
          </w:p>
        </w:tc>
        <w:tc>
          <w:tcPr>
            <w:tcW w:w="1434" w:type="dxa"/>
            <w:vAlign w:val="center"/>
          </w:tcPr>
          <w:p w14:paraId="3FAA7743">
            <w:pPr>
              <w:jc w:val="center"/>
              <w:rPr>
                <w:rFonts w:ascii="宋体" w:hAnsi="宋体" w:cs="宋体"/>
                <w:szCs w:val="21"/>
              </w:rPr>
            </w:pPr>
            <w:r>
              <w:rPr>
                <w:rFonts w:hint="eastAsia" w:ascii="宋体" w:hAnsi="宋体" w:cs="宋体"/>
                <w:szCs w:val="21"/>
              </w:rPr>
              <w:t>劣</w:t>
            </w:r>
          </w:p>
        </w:tc>
      </w:tr>
      <w:tr w14:paraId="16B5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433" w:type="dxa"/>
            <w:vAlign w:val="center"/>
          </w:tcPr>
          <w:p w14:paraId="225A1EF2">
            <w:pPr>
              <w:rPr>
                <w:rFonts w:ascii="宋体" w:hAnsi="宋体" w:cs="宋体"/>
                <w:szCs w:val="21"/>
              </w:rPr>
            </w:pPr>
            <w:r>
              <w:rPr>
                <w:rFonts w:hint="eastAsia" w:ascii="宋体" w:hAnsi="宋体" w:cs="宋体"/>
                <w:szCs w:val="21"/>
              </w:rPr>
              <w:t>指标标准说明标</w:t>
            </w:r>
          </w:p>
        </w:tc>
        <w:tc>
          <w:tcPr>
            <w:tcW w:w="1433" w:type="dxa"/>
            <w:vAlign w:val="center"/>
          </w:tcPr>
          <w:p w14:paraId="7EA5EAA7">
            <w:pPr>
              <w:rPr>
                <w:rFonts w:ascii="宋体" w:hAnsi="宋体" w:cs="宋体"/>
                <w:szCs w:val="21"/>
              </w:rPr>
            </w:pPr>
            <w:r>
              <w:rPr>
                <w:rFonts w:hint="eastAsia" w:ascii="宋体" w:hAnsi="宋体" w:cs="宋体"/>
                <w:szCs w:val="21"/>
              </w:rPr>
              <w:t>形状规，对土地利用合理</w:t>
            </w:r>
          </w:p>
        </w:tc>
        <w:tc>
          <w:tcPr>
            <w:tcW w:w="1433" w:type="dxa"/>
            <w:vAlign w:val="center"/>
          </w:tcPr>
          <w:p w14:paraId="0B1F1811">
            <w:pPr>
              <w:rPr>
                <w:rFonts w:ascii="宋体" w:hAnsi="宋体" w:cs="宋体"/>
                <w:szCs w:val="21"/>
              </w:rPr>
            </w:pPr>
            <w:r>
              <w:rPr>
                <w:rFonts w:hint="eastAsia" w:ascii="宋体" w:hAnsi="宋体" w:cs="宋体"/>
                <w:szCs w:val="21"/>
              </w:rPr>
              <w:t>形状较为规则，土地利用较为合理</w:t>
            </w:r>
          </w:p>
        </w:tc>
        <w:tc>
          <w:tcPr>
            <w:tcW w:w="1433" w:type="dxa"/>
            <w:vAlign w:val="center"/>
          </w:tcPr>
          <w:p w14:paraId="33525AC2">
            <w:pPr>
              <w:rPr>
                <w:rFonts w:ascii="宋体" w:hAnsi="宋体" w:cs="宋体"/>
                <w:szCs w:val="21"/>
              </w:rPr>
            </w:pPr>
            <w:r>
              <w:rPr>
                <w:rFonts w:hint="eastAsia" w:ascii="宋体" w:hAnsi="宋体" w:cs="宋体"/>
                <w:szCs w:val="21"/>
              </w:rPr>
              <w:t>土地利用无不良影响</w:t>
            </w:r>
          </w:p>
        </w:tc>
        <w:tc>
          <w:tcPr>
            <w:tcW w:w="1434" w:type="dxa"/>
            <w:vAlign w:val="center"/>
          </w:tcPr>
          <w:p w14:paraId="6FAAB8FF">
            <w:pPr>
              <w:rPr>
                <w:rFonts w:ascii="宋体" w:hAnsi="宋体" w:cs="宋体"/>
                <w:szCs w:val="21"/>
              </w:rPr>
            </w:pPr>
            <w:r>
              <w:rPr>
                <w:rFonts w:hint="eastAsia" w:ascii="宋体" w:hAnsi="宋体" w:cs="宋体"/>
                <w:szCs w:val="21"/>
              </w:rPr>
              <w:t>形状不规则，对土地利用不合理</w:t>
            </w:r>
          </w:p>
        </w:tc>
        <w:tc>
          <w:tcPr>
            <w:tcW w:w="1434" w:type="dxa"/>
            <w:vAlign w:val="center"/>
          </w:tcPr>
          <w:p w14:paraId="28D129DC">
            <w:pPr>
              <w:rPr>
                <w:rFonts w:ascii="宋体" w:hAnsi="宋体" w:cs="宋体"/>
                <w:szCs w:val="21"/>
              </w:rPr>
            </w:pPr>
            <w:r>
              <w:rPr>
                <w:rFonts w:hint="eastAsia" w:ascii="宋体" w:hAnsi="宋体" w:cs="宋体"/>
                <w:szCs w:val="21"/>
              </w:rPr>
              <w:t>形状不规则，对土地利用产生严重的影响</w:t>
            </w:r>
          </w:p>
        </w:tc>
      </w:tr>
      <w:tr w14:paraId="2772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433" w:type="dxa"/>
            <w:vAlign w:val="center"/>
          </w:tcPr>
          <w:p w14:paraId="2637F587">
            <w:pPr>
              <w:jc w:val="center"/>
              <w:rPr>
                <w:rFonts w:ascii="宋体" w:hAnsi="宋体" w:cs="宋体"/>
                <w:szCs w:val="21"/>
              </w:rPr>
            </w:pPr>
            <w:r>
              <w:rPr>
                <w:rFonts w:hint="eastAsia" w:ascii="宋体" w:hAnsi="宋体" w:cs="宋体"/>
                <w:szCs w:val="21"/>
              </w:rPr>
              <w:t>修正系数</w:t>
            </w:r>
          </w:p>
        </w:tc>
        <w:tc>
          <w:tcPr>
            <w:tcW w:w="1433" w:type="dxa"/>
            <w:vAlign w:val="center"/>
          </w:tcPr>
          <w:p w14:paraId="5413EC21">
            <w:pPr>
              <w:jc w:val="center"/>
              <w:rPr>
                <w:rFonts w:ascii="宋体" w:hAnsi="宋体" w:cs="宋体"/>
                <w:szCs w:val="21"/>
              </w:rPr>
            </w:pPr>
            <w:r>
              <w:rPr>
                <w:rFonts w:hint="eastAsia" w:ascii="宋体" w:hAnsi="宋体" w:cs="宋体"/>
                <w:szCs w:val="21"/>
              </w:rPr>
              <w:t>1.05</w:t>
            </w:r>
          </w:p>
        </w:tc>
        <w:tc>
          <w:tcPr>
            <w:tcW w:w="1433" w:type="dxa"/>
            <w:vAlign w:val="center"/>
          </w:tcPr>
          <w:p w14:paraId="5B312D99">
            <w:pPr>
              <w:jc w:val="center"/>
              <w:rPr>
                <w:rFonts w:ascii="宋体" w:hAnsi="宋体" w:cs="宋体"/>
                <w:szCs w:val="21"/>
              </w:rPr>
            </w:pPr>
            <w:r>
              <w:rPr>
                <w:rFonts w:hint="eastAsia" w:ascii="宋体" w:hAnsi="宋体" w:cs="宋体"/>
                <w:szCs w:val="21"/>
              </w:rPr>
              <w:t>1.02</w:t>
            </w:r>
          </w:p>
        </w:tc>
        <w:tc>
          <w:tcPr>
            <w:tcW w:w="1433" w:type="dxa"/>
            <w:vAlign w:val="center"/>
          </w:tcPr>
          <w:p w14:paraId="5C659C8F">
            <w:pPr>
              <w:jc w:val="center"/>
              <w:rPr>
                <w:rFonts w:ascii="宋体" w:hAnsi="宋体" w:cs="宋体"/>
                <w:szCs w:val="21"/>
              </w:rPr>
            </w:pPr>
            <w:r>
              <w:rPr>
                <w:rFonts w:hint="eastAsia" w:ascii="宋体" w:hAnsi="宋体" w:cs="宋体"/>
                <w:szCs w:val="21"/>
              </w:rPr>
              <w:t>1</w:t>
            </w:r>
          </w:p>
        </w:tc>
        <w:tc>
          <w:tcPr>
            <w:tcW w:w="1434" w:type="dxa"/>
            <w:vAlign w:val="center"/>
          </w:tcPr>
          <w:p w14:paraId="75CD082E">
            <w:pPr>
              <w:jc w:val="center"/>
              <w:rPr>
                <w:rFonts w:ascii="宋体" w:hAnsi="宋体" w:cs="宋体"/>
                <w:szCs w:val="21"/>
              </w:rPr>
            </w:pPr>
            <w:r>
              <w:rPr>
                <w:rFonts w:hint="eastAsia" w:ascii="宋体" w:hAnsi="宋体" w:cs="宋体"/>
                <w:szCs w:val="21"/>
              </w:rPr>
              <w:t>0.97</w:t>
            </w:r>
          </w:p>
        </w:tc>
        <w:tc>
          <w:tcPr>
            <w:tcW w:w="1434" w:type="dxa"/>
            <w:vAlign w:val="center"/>
          </w:tcPr>
          <w:p w14:paraId="30AAC040">
            <w:pPr>
              <w:jc w:val="center"/>
              <w:rPr>
                <w:rFonts w:ascii="宋体" w:hAnsi="宋体" w:cs="宋体"/>
                <w:szCs w:val="21"/>
              </w:rPr>
            </w:pPr>
            <w:r>
              <w:rPr>
                <w:rFonts w:hint="eastAsia" w:ascii="宋体" w:hAnsi="宋体" w:cs="宋体"/>
                <w:szCs w:val="21"/>
              </w:rPr>
              <w:t>0.95</w:t>
            </w:r>
          </w:p>
        </w:tc>
      </w:tr>
    </w:tbl>
    <w:p w14:paraId="5DDA626A">
      <w:pPr>
        <w:pStyle w:val="180"/>
        <w:ind w:firstLine="480"/>
      </w:pPr>
      <w:r>
        <w:rPr>
          <w:rFonts w:hint="eastAsia"/>
        </w:rPr>
        <w:t>（3）地块面积修正</w:t>
      </w:r>
    </w:p>
    <w:p w14:paraId="0BDDCC35">
      <w:pPr>
        <w:spacing w:line="360" w:lineRule="auto"/>
        <w:ind w:firstLine="480" w:firstLineChars="200"/>
        <w:rPr>
          <w:rFonts w:ascii="宋体" w:hAnsi="宋体" w:cs="宋体"/>
          <w:sz w:val="24"/>
          <w:szCs w:val="28"/>
        </w:rPr>
      </w:pPr>
      <w:r>
        <w:rPr>
          <w:rFonts w:hint="eastAsia" w:ascii="宋体" w:hAnsi="宋体" w:cs="宋体"/>
          <w:sz w:val="24"/>
          <w:szCs w:val="28"/>
        </w:rPr>
        <w:t>地块面积大小对国有农用地的使用会有一定的影响，具体修正系数见表5</w:t>
      </w:r>
      <w:r>
        <w:rPr>
          <w:rFonts w:ascii="宋体" w:hAnsi="宋体" w:cs="宋体"/>
          <w:sz w:val="24"/>
          <w:szCs w:val="28"/>
        </w:rPr>
        <w:t>-9</w:t>
      </w:r>
      <w:r>
        <w:rPr>
          <w:rFonts w:hint="eastAsia" w:ascii="宋体" w:hAnsi="宋体" w:cs="宋体"/>
          <w:sz w:val="24"/>
          <w:szCs w:val="28"/>
        </w:rPr>
        <w:t>。</w:t>
      </w:r>
    </w:p>
    <w:p w14:paraId="71FDB244">
      <w:pPr>
        <w:ind w:firstLine="422"/>
        <w:jc w:val="center"/>
        <w:rPr>
          <w:b/>
          <w:szCs w:val="21"/>
        </w:rPr>
      </w:pPr>
      <w:r>
        <w:rPr>
          <w:rFonts w:hint="eastAsia"/>
          <w:b/>
          <w:szCs w:val="21"/>
        </w:rPr>
        <w:t>表5-9  鄂州市国有农用地地块面积修正系数</w:t>
      </w:r>
    </w:p>
    <w:tbl>
      <w:tblPr>
        <w:tblStyle w:val="40"/>
        <w:tblW w:w="8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1403"/>
        <w:gridCol w:w="1403"/>
        <w:gridCol w:w="1403"/>
        <w:gridCol w:w="1404"/>
        <w:gridCol w:w="1404"/>
      </w:tblGrid>
      <w:tr w14:paraId="1226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403" w:type="dxa"/>
            <w:vAlign w:val="center"/>
          </w:tcPr>
          <w:p w14:paraId="334A6076">
            <w:pPr>
              <w:jc w:val="center"/>
              <w:rPr>
                <w:rFonts w:ascii="宋体" w:hAnsi="宋体" w:cs="宋体"/>
                <w:szCs w:val="21"/>
              </w:rPr>
            </w:pPr>
            <w:r>
              <w:rPr>
                <w:rFonts w:hint="eastAsia" w:ascii="宋体" w:hAnsi="宋体" w:cs="宋体"/>
                <w:szCs w:val="21"/>
              </w:rPr>
              <w:t>指标准</w:t>
            </w:r>
          </w:p>
        </w:tc>
        <w:tc>
          <w:tcPr>
            <w:tcW w:w="1403" w:type="dxa"/>
            <w:vAlign w:val="center"/>
          </w:tcPr>
          <w:p w14:paraId="276B8FB7">
            <w:pPr>
              <w:jc w:val="center"/>
              <w:rPr>
                <w:rFonts w:ascii="宋体" w:hAnsi="宋体" w:cs="宋体"/>
                <w:szCs w:val="21"/>
              </w:rPr>
            </w:pPr>
            <w:r>
              <w:rPr>
                <w:rFonts w:hint="eastAsia" w:ascii="宋体" w:hAnsi="宋体" w:cs="宋体"/>
                <w:szCs w:val="21"/>
              </w:rPr>
              <w:t>优</w:t>
            </w:r>
          </w:p>
        </w:tc>
        <w:tc>
          <w:tcPr>
            <w:tcW w:w="1403" w:type="dxa"/>
            <w:vAlign w:val="center"/>
          </w:tcPr>
          <w:p w14:paraId="480657E7">
            <w:pPr>
              <w:jc w:val="center"/>
              <w:rPr>
                <w:rFonts w:ascii="宋体" w:hAnsi="宋体" w:cs="宋体"/>
                <w:szCs w:val="21"/>
              </w:rPr>
            </w:pPr>
            <w:r>
              <w:rPr>
                <w:rFonts w:hint="eastAsia" w:ascii="宋体" w:hAnsi="宋体" w:cs="宋体"/>
                <w:szCs w:val="21"/>
              </w:rPr>
              <w:t>较优</w:t>
            </w:r>
          </w:p>
        </w:tc>
        <w:tc>
          <w:tcPr>
            <w:tcW w:w="1403" w:type="dxa"/>
            <w:vAlign w:val="center"/>
          </w:tcPr>
          <w:p w14:paraId="138D1A75">
            <w:pPr>
              <w:jc w:val="center"/>
              <w:rPr>
                <w:rFonts w:ascii="宋体" w:hAnsi="宋体" w:cs="宋体"/>
                <w:szCs w:val="21"/>
              </w:rPr>
            </w:pPr>
            <w:r>
              <w:rPr>
                <w:rFonts w:hint="eastAsia" w:ascii="宋体" w:hAnsi="宋体" w:cs="宋体"/>
                <w:szCs w:val="21"/>
              </w:rPr>
              <w:t>一般</w:t>
            </w:r>
          </w:p>
        </w:tc>
        <w:tc>
          <w:tcPr>
            <w:tcW w:w="1404" w:type="dxa"/>
            <w:vAlign w:val="center"/>
          </w:tcPr>
          <w:p w14:paraId="4E0CF809">
            <w:pPr>
              <w:jc w:val="center"/>
              <w:rPr>
                <w:rFonts w:ascii="宋体" w:hAnsi="宋体" w:cs="宋体"/>
                <w:szCs w:val="21"/>
              </w:rPr>
            </w:pPr>
            <w:r>
              <w:rPr>
                <w:rFonts w:hint="eastAsia" w:ascii="宋体" w:hAnsi="宋体" w:cs="宋体"/>
                <w:szCs w:val="21"/>
              </w:rPr>
              <w:t>较劣</w:t>
            </w:r>
          </w:p>
        </w:tc>
        <w:tc>
          <w:tcPr>
            <w:tcW w:w="1404" w:type="dxa"/>
            <w:vAlign w:val="center"/>
          </w:tcPr>
          <w:p w14:paraId="0AC8B7F8">
            <w:pPr>
              <w:jc w:val="center"/>
              <w:rPr>
                <w:rFonts w:ascii="宋体" w:hAnsi="宋体" w:cs="宋体"/>
                <w:szCs w:val="21"/>
              </w:rPr>
            </w:pPr>
            <w:r>
              <w:rPr>
                <w:rFonts w:hint="eastAsia" w:ascii="宋体" w:hAnsi="宋体" w:cs="宋体"/>
                <w:szCs w:val="21"/>
              </w:rPr>
              <w:t>劣</w:t>
            </w:r>
          </w:p>
        </w:tc>
      </w:tr>
      <w:tr w14:paraId="2C37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1403" w:type="dxa"/>
            <w:vAlign w:val="center"/>
          </w:tcPr>
          <w:p w14:paraId="2B07994B">
            <w:pPr>
              <w:jc w:val="center"/>
              <w:rPr>
                <w:rFonts w:ascii="宋体" w:hAnsi="宋体" w:cs="宋体"/>
                <w:szCs w:val="21"/>
              </w:rPr>
            </w:pPr>
            <w:r>
              <w:rPr>
                <w:rFonts w:hint="eastAsia" w:ascii="宋体" w:hAnsi="宋体" w:cs="宋体"/>
                <w:szCs w:val="21"/>
              </w:rPr>
              <w:t>指标标准说明标</w:t>
            </w:r>
          </w:p>
        </w:tc>
        <w:tc>
          <w:tcPr>
            <w:tcW w:w="1403" w:type="dxa"/>
            <w:vAlign w:val="center"/>
          </w:tcPr>
          <w:p w14:paraId="31659431">
            <w:pPr>
              <w:jc w:val="center"/>
              <w:rPr>
                <w:rFonts w:ascii="宋体" w:hAnsi="宋体" w:cs="宋体"/>
                <w:szCs w:val="21"/>
              </w:rPr>
            </w:pPr>
            <w:r>
              <w:rPr>
                <w:rFonts w:hint="eastAsia" w:ascii="宋体" w:hAnsi="宋体" w:cs="宋体"/>
                <w:szCs w:val="21"/>
              </w:rPr>
              <w:t>面积适中，对土地利用极为有利</w:t>
            </w:r>
          </w:p>
        </w:tc>
        <w:tc>
          <w:tcPr>
            <w:tcW w:w="1403" w:type="dxa"/>
            <w:vAlign w:val="center"/>
          </w:tcPr>
          <w:p w14:paraId="1091F05D">
            <w:pPr>
              <w:jc w:val="center"/>
              <w:rPr>
                <w:rFonts w:ascii="宋体" w:hAnsi="宋体" w:cs="宋体"/>
                <w:szCs w:val="21"/>
              </w:rPr>
            </w:pPr>
            <w:r>
              <w:rPr>
                <w:rFonts w:hint="eastAsia" w:ascii="宋体" w:hAnsi="宋体" w:cs="宋体"/>
                <w:szCs w:val="21"/>
              </w:rPr>
              <w:t>面积对土地利用较为有利</w:t>
            </w:r>
          </w:p>
        </w:tc>
        <w:tc>
          <w:tcPr>
            <w:tcW w:w="1403" w:type="dxa"/>
            <w:vAlign w:val="center"/>
          </w:tcPr>
          <w:p w14:paraId="6F19A0BD">
            <w:pPr>
              <w:jc w:val="center"/>
              <w:rPr>
                <w:rFonts w:ascii="宋体" w:hAnsi="宋体" w:cs="宋体"/>
                <w:szCs w:val="21"/>
              </w:rPr>
            </w:pPr>
            <w:r>
              <w:rPr>
                <w:rFonts w:hint="eastAsia" w:ascii="宋体" w:hAnsi="宋体" w:cs="宋体"/>
                <w:szCs w:val="21"/>
              </w:rPr>
              <w:t>面积对土地利用无不良影响</w:t>
            </w:r>
          </w:p>
        </w:tc>
        <w:tc>
          <w:tcPr>
            <w:tcW w:w="1404" w:type="dxa"/>
            <w:vAlign w:val="center"/>
          </w:tcPr>
          <w:p w14:paraId="54DDAF59">
            <w:pPr>
              <w:jc w:val="center"/>
              <w:rPr>
                <w:rFonts w:ascii="宋体" w:hAnsi="宋体" w:cs="宋体"/>
                <w:szCs w:val="21"/>
              </w:rPr>
            </w:pPr>
            <w:r>
              <w:rPr>
                <w:rFonts w:hint="eastAsia" w:ascii="宋体" w:hAnsi="宋体" w:cs="宋体"/>
                <w:szCs w:val="21"/>
              </w:rPr>
              <w:t>面积较小，对土地利用优一定影响</w:t>
            </w:r>
          </w:p>
        </w:tc>
        <w:tc>
          <w:tcPr>
            <w:tcW w:w="1404" w:type="dxa"/>
            <w:vAlign w:val="center"/>
          </w:tcPr>
          <w:p w14:paraId="4AC0BC53">
            <w:pPr>
              <w:jc w:val="center"/>
              <w:rPr>
                <w:rFonts w:ascii="宋体" w:hAnsi="宋体" w:cs="宋体"/>
                <w:szCs w:val="21"/>
              </w:rPr>
            </w:pPr>
            <w:r>
              <w:rPr>
                <w:rFonts w:hint="eastAsia" w:ascii="宋体" w:hAnsi="宋体" w:cs="宋体"/>
                <w:szCs w:val="21"/>
              </w:rPr>
              <w:t>面积过小，对土地利用产生严重影响</w:t>
            </w:r>
          </w:p>
        </w:tc>
      </w:tr>
      <w:tr w14:paraId="7A44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3" w:type="dxa"/>
            <w:vAlign w:val="center"/>
          </w:tcPr>
          <w:p w14:paraId="06BF1DD9">
            <w:pPr>
              <w:jc w:val="center"/>
              <w:rPr>
                <w:rFonts w:ascii="宋体" w:hAnsi="宋体" w:cs="宋体"/>
                <w:szCs w:val="21"/>
              </w:rPr>
            </w:pPr>
            <w:r>
              <w:rPr>
                <w:rFonts w:hint="eastAsia" w:ascii="宋体" w:hAnsi="宋体" w:cs="宋体"/>
                <w:szCs w:val="21"/>
              </w:rPr>
              <w:t>修正系数</w:t>
            </w:r>
          </w:p>
        </w:tc>
        <w:tc>
          <w:tcPr>
            <w:tcW w:w="1403" w:type="dxa"/>
            <w:vAlign w:val="center"/>
          </w:tcPr>
          <w:p w14:paraId="22184B74">
            <w:pPr>
              <w:jc w:val="center"/>
              <w:rPr>
                <w:rFonts w:ascii="宋体" w:hAnsi="宋体" w:cs="宋体"/>
                <w:szCs w:val="21"/>
              </w:rPr>
            </w:pPr>
            <w:r>
              <w:rPr>
                <w:rFonts w:hint="eastAsia" w:ascii="宋体" w:hAnsi="宋体" w:cs="宋体"/>
                <w:szCs w:val="21"/>
              </w:rPr>
              <w:t>1.08</w:t>
            </w:r>
          </w:p>
        </w:tc>
        <w:tc>
          <w:tcPr>
            <w:tcW w:w="1403" w:type="dxa"/>
            <w:vAlign w:val="center"/>
          </w:tcPr>
          <w:p w14:paraId="3E89CE4A">
            <w:pPr>
              <w:jc w:val="center"/>
              <w:rPr>
                <w:rFonts w:ascii="宋体" w:hAnsi="宋体" w:cs="宋体"/>
                <w:szCs w:val="21"/>
              </w:rPr>
            </w:pPr>
            <w:r>
              <w:rPr>
                <w:rFonts w:hint="eastAsia" w:ascii="宋体" w:hAnsi="宋体" w:cs="宋体"/>
                <w:szCs w:val="21"/>
              </w:rPr>
              <w:t>1.04</w:t>
            </w:r>
          </w:p>
        </w:tc>
        <w:tc>
          <w:tcPr>
            <w:tcW w:w="1403" w:type="dxa"/>
            <w:vAlign w:val="center"/>
          </w:tcPr>
          <w:p w14:paraId="7667B31F">
            <w:pPr>
              <w:jc w:val="center"/>
              <w:rPr>
                <w:rFonts w:ascii="宋体" w:hAnsi="宋体" w:cs="宋体"/>
                <w:szCs w:val="21"/>
              </w:rPr>
            </w:pPr>
            <w:r>
              <w:rPr>
                <w:rFonts w:hint="eastAsia" w:ascii="宋体" w:hAnsi="宋体" w:cs="宋体"/>
                <w:szCs w:val="21"/>
              </w:rPr>
              <w:t>1</w:t>
            </w:r>
          </w:p>
        </w:tc>
        <w:tc>
          <w:tcPr>
            <w:tcW w:w="1404" w:type="dxa"/>
            <w:vAlign w:val="center"/>
          </w:tcPr>
          <w:p w14:paraId="3E22CD6F">
            <w:pPr>
              <w:jc w:val="center"/>
              <w:rPr>
                <w:rFonts w:ascii="宋体" w:hAnsi="宋体" w:cs="宋体"/>
                <w:szCs w:val="21"/>
              </w:rPr>
            </w:pPr>
            <w:r>
              <w:rPr>
                <w:rFonts w:hint="eastAsia" w:ascii="宋体" w:hAnsi="宋体" w:cs="宋体"/>
                <w:szCs w:val="21"/>
              </w:rPr>
              <w:t>0.98</w:t>
            </w:r>
          </w:p>
        </w:tc>
        <w:tc>
          <w:tcPr>
            <w:tcW w:w="1404" w:type="dxa"/>
            <w:vAlign w:val="center"/>
          </w:tcPr>
          <w:p w14:paraId="693520C2">
            <w:pPr>
              <w:jc w:val="center"/>
              <w:rPr>
                <w:rFonts w:ascii="宋体" w:hAnsi="宋体" w:cs="宋体"/>
                <w:szCs w:val="21"/>
              </w:rPr>
            </w:pPr>
            <w:r>
              <w:rPr>
                <w:rFonts w:hint="eastAsia" w:ascii="宋体" w:hAnsi="宋体" w:cs="宋体"/>
                <w:szCs w:val="21"/>
              </w:rPr>
              <w:t>0.97</w:t>
            </w:r>
          </w:p>
        </w:tc>
      </w:tr>
    </w:tbl>
    <w:p w14:paraId="3B5FEEB3">
      <w:pPr>
        <w:pStyle w:val="4"/>
        <w:widowControl w:val="0"/>
        <w:tabs>
          <w:tab w:val="left" w:pos="720"/>
        </w:tabs>
        <w:spacing w:before="120" w:after="120" w:line="500" w:lineRule="exact"/>
        <w:ind w:left="826" w:hanging="826"/>
        <w:jc w:val="both"/>
        <w:rPr>
          <w:rFonts w:ascii="宋体" w:hAnsi="宋体"/>
          <w:sz w:val="24"/>
          <w:szCs w:val="24"/>
        </w:rPr>
      </w:pPr>
      <w:bookmarkStart w:id="252" w:name="_Toc535399966"/>
      <w:bookmarkStart w:id="253" w:name="_Toc47384655"/>
      <w:r>
        <w:rPr>
          <w:rFonts w:hint="eastAsia" w:ascii="宋体" w:hAnsi="宋体"/>
          <w:sz w:val="24"/>
          <w:szCs w:val="24"/>
        </w:rPr>
        <w:t>5</w:t>
      </w:r>
      <w:r>
        <w:rPr>
          <w:rFonts w:ascii="宋体" w:hAnsi="宋体"/>
          <w:sz w:val="24"/>
          <w:szCs w:val="24"/>
        </w:rPr>
        <w:t xml:space="preserve">.3.2 </w:t>
      </w:r>
      <w:r>
        <w:rPr>
          <w:rFonts w:hint="eastAsia" w:ascii="宋体" w:hAnsi="宋体"/>
          <w:sz w:val="24"/>
          <w:szCs w:val="24"/>
        </w:rPr>
        <w:t>年期修正</w:t>
      </w:r>
      <w:bookmarkEnd w:id="252"/>
      <w:bookmarkEnd w:id="253"/>
    </w:p>
    <w:p w14:paraId="678E4D49">
      <w:pPr>
        <w:spacing w:line="360" w:lineRule="auto"/>
        <w:ind w:firstLine="480" w:firstLineChars="200"/>
        <w:rPr>
          <w:rFonts w:ascii="宋体" w:hAnsi="宋体" w:cs="宋体"/>
          <w:sz w:val="22"/>
          <w:szCs w:val="22"/>
        </w:rPr>
      </w:pPr>
      <w:r>
        <w:rPr>
          <w:rFonts w:hint="eastAsia" w:ascii="宋体" w:hAnsi="宋体" w:cs="宋体"/>
          <w:sz w:val="24"/>
          <w:szCs w:val="28"/>
        </w:rPr>
        <w:t>土地使用年期修正是将各比较实例的不同使用年期修正到待估宗地使用年期限，以消除因土地使用年期不同而对价格带来的影响。参考土地估价年期修正计算公式，确定一定年期国有农用地流转价格修正系数的计算公式,结果见表5-10。</w:t>
      </w:r>
    </w:p>
    <w:p w14:paraId="3C64A8C5">
      <w:pPr>
        <w:ind w:firstLine="422"/>
        <w:jc w:val="center"/>
        <w:rPr>
          <w:b/>
          <w:szCs w:val="21"/>
        </w:rPr>
      </w:pPr>
      <w:r>
        <w:rPr>
          <w:rFonts w:hint="eastAsia"/>
          <w:b/>
          <w:szCs w:val="21"/>
        </w:rPr>
        <w:t>表5-10鄂州市国有农用地</w:t>
      </w:r>
      <w:r>
        <w:rPr>
          <w:b/>
          <w:szCs w:val="21"/>
        </w:rPr>
        <w:t>使用年期修正系数表</w:t>
      </w:r>
    </w:p>
    <w:tbl>
      <w:tblPr>
        <w:tblStyle w:val="39"/>
        <w:tblW w:w="8535" w:type="dxa"/>
        <w:jc w:val="center"/>
        <w:tblLayout w:type="fixed"/>
        <w:tblCellMar>
          <w:top w:w="15" w:type="dxa"/>
          <w:left w:w="15" w:type="dxa"/>
          <w:bottom w:w="15" w:type="dxa"/>
          <w:right w:w="15" w:type="dxa"/>
        </w:tblCellMar>
      </w:tblPr>
      <w:tblGrid>
        <w:gridCol w:w="1061"/>
        <w:gridCol w:w="1621"/>
        <w:gridCol w:w="1496"/>
        <w:gridCol w:w="1621"/>
        <w:gridCol w:w="1496"/>
        <w:gridCol w:w="1240"/>
      </w:tblGrid>
      <w:tr w14:paraId="5A5FB7D9">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65F6">
            <w:pPr>
              <w:jc w:val="center"/>
              <w:textAlignment w:val="center"/>
              <w:rPr>
                <w:color w:val="000000"/>
                <w:szCs w:val="21"/>
              </w:rPr>
            </w:pPr>
            <w:r>
              <w:rPr>
                <w:color w:val="000000"/>
                <w:kern w:val="0"/>
                <w:szCs w:val="21"/>
              </w:rPr>
              <w:t>使用年期</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5472">
            <w:pPr>
              <w:jc w:val="center"/>
              <w:textAlignment w:val="center"/>
              <w:rPr>
                <w:color w:val="000000"/>
                <w:szCs w:val="21"/>
              </w:rPr>
            </w:pPr>
            <w:r>
              <w:rPr>
                <w:color w:val="000000"/>
                <w:kern w:val="0"/>
                <w:szCs w:val="21"/>
              </w:rPr>
              <w:t>1</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F365">
            <w:pPr>
              <w:jc w:val="center"/>
              <w:textAlignment w:val="center"/>
              <w:rPr>
                <w:color w:val="000000"/>
                <w:szCs w:val="21"/>
              </w:rPr>
            </w:pPr>
            <w:r>
              <w:rPr>
                <w:color w:val="000000"/>
                <w:kern w:val="0"/>
                <w:szCs w:val="21"/>
              </w:rPr>
              <w:t>2</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FA52">
            <w:pPr>
              <w:jc w:val="center"/>
              <w:textAlignment w:val="center"/>
              <w:rPr>
                <w:color w:val="000000"/>
                <w:szCs w:val="21"/>
              </w:rPr>
            </w:pPr>
            <w:r>
              <w:rPr>
                <w:color w:val="000000"/>
                <w:kern w:val="0"/>
                <w:szCs w:val="21"/>
              </w:rPr>
              <w:t>3</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9007">
            <w:pPr>
              <w:jc w:val="center"/>
              <w:textAlignment w:val="center"/>
              <w:rPr>
                <w:color w:val="000000"/>
                <w:szCs w:val="21"/>
              </w:rPr>
            </w:pPr>
            <w:r>
              <w:rPr>
                <w:color w:val="000000"/>
                <w:kern w:val="0"/>
                <w:szCs w:val="21"/>
              </w:rPr>
              <w:t>4</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B928">
            <w:pPr>
              <w:jc w:val="center"/>
              <w:textAlignment w:val="center"/>
              <w:rPr>
                <w:color w:val="000000"/>
                <w:szCs w:val="21"/>
              </w:rPr>
            </w:pPr>
            <w:r>
              <w:rPr>
                <w:color w:val="000000"/>
                <w:kern w:val="0"/>
                <w:szCs w:val="21"/>
              </w:rPr>
              <w:t>5</w:t>
            </w:r>
          </w:p>
        </w:tc>
      </w:tr>
      <w:tr w14:paraId="67B60DBD">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7708">
            <w:pPr>
              <w:jc w:val="center"/>
              <w:textAlignment w:val="center"/>
              <w:rPr>
                <w:color w:val="000000"/>
                <w:szCs w:val="21"/>
              </w:rPr>
            </w:pPr>
            <w:r>
              <w:rPr>
                <w:color w:val="000000"/>
                <w:kern w:val="0"/>
                <w:szCs w:val="21"/>
              </w:rPr>
              <w:t>修正系数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F260">
            <w:pPr>
              <w:jc w:val="center"/>
              <w:rPr>
                <w:rFonts w:eastAsia="等线"/>
                <w:color w:val="000000"/>
                <w:kern w:val="0"/>
                <w:szCs w:val="21"/>
              </w:rPr>
            </w:pPr>
            <w:r>
              <w:rPr>
                <w:rFonts w:eastAsia="等线"/>
                <w:color w:val="000000"/>
                <w:szCs w:val="21"/>
              </w:rPr>
              <w:t xml:space="preserve">0.0564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5DC5">
            <w:pPr>
              <w:jc w:val="center"/>
              <w:rPr>
                <w:rFonts w:eastAsia="等线"/>
                <w:color w:val="000000"/>
                <w:szCs w:val="21"/>
              </w:rPr>
            </w:pPr>
            <w:r>
              <w:rPr>
                <w:rFonts w:eastAsia="等线"/>
                <w:color w:val="000000"/>
                <w:szCs w:val="21"/>
              </w:rPr>
              <w:t xml:space="preserve">0.1105 </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4867">
            <w:pPr>
              <w:jc w:val="center"/>
              <w:rPr>
                <w:rFonts w:eastAsia="等线"/>
                <w:color w:val="000000"/>
                <w:szCs w:val="21"/>
              </w:rPr>
            </w:pPr>
            <w:r>
              <w:rPr>
                <w:rFonts w:eastAsia="等线"/>
                <w:color w:val="000000"/>
                <w:szCs w:val="21"/>
              </w:rPr>
              <w:t xml:space="preserve">0.1625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D505">
            <w:pPr>
              <w:jc w:val="center"/>
              <w:rPr>
                <w:rFonts w:eastAsia="等线"/>
                <w:color w:val="000000"/>
                <w:szCs w:val="21"/>
              </w:rPr>
            </w:pPr>
            <w:r>
              <w:rPr>
                <w:rFonts w:eastAsia="等线"/>
                <w:color w:val="000000"/>
                <w:szCs w:val="21"/>
              </w:rPr>
              <w:t xml:space="preserve">0.2124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5408">
            <w:pPr>
              <w:jc w:val="center"/>
              <w:rPr>
                <w:rFonts w:eastAsia="等线"/>
                <w:color w:val="000000"/>
                <w:szCs w:val="21"/>
              </w:rPr>
            </w:pPr>
            <w:r>
              <w:rPr>
                <w:rFonts w:eastAsia="等线"/>
                <w:color w:val="000000"/>
                <w:szCs w:val="21"/>
              </w:rPr>
              <w:t xml:space="preserve">0.2603 </w:t>
            </w:r>
          </w:p>
        </w:tc>
      </w:tr>
      <w:tr w14:paraId="6602591A">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022F">
            <w:pPr>
              <w:jc w:val="center"/>
              <w:textAlignment w:val="center"/>
              <w:rPr>
                <w:color w:val="000000"/>
                <w:szCs w:val="21"/>
              </w:rPr>
            </w:pPr>
            <w:r>
              <w:rPr>
                <w:color w:val="000000"/>
                <w:kern w:val="0"/>
                <w:szCs w:val="21"/>
              </w:rPr>
              <w:t>使用年期</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BCC2">
            <w:pPr>
              <w:jc w:val="center"/>
              <w:textAlignment w:val="center"/>
              <w:rPr>
                <w:color w:val="000000"/>
                <w:szCs w:val="21"/>
              </w:rPr>
            </w:pPr>
            <w:r>
              <w:rPr>
                <w:color w:val="000000"/>
                <w:kern w:val="0"/>
                <w:szCs w:val="21"/>
              </w:rPr>
              <w:t>6</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735F">
            <w:pPr>
              <w:jc w:val="center"/>
              <w:textAlignment w:val="center"/>
              <w:rPr>
                <w:color w:val="000000"/>
                <w:szCs w:val="21"/>
              </w:rPr>
            </w:pPr>
            <w:r>
              <w:rPr>
                <w:color w:val="000000"/>
                <w:kern w:val="0"/>
                <w:szCs w:val="21"/>
              </w:rPr>
              <w:t>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3EC3">
            <w:pPr>
              <w:jc w:val="center"/>
              <w:textAlignment w:val="center"/>
              <w:rPr>
                <w:color w:val="000000"/>
                <w:szCs w:val="21"/>
              </w:rPr>
            </w:pPr>
            <w:r>
              <w:rPr>
                <w:color w:val="000000"/>
                <w:kern w:val="0"/>
                <w:szCs w:val="21"/>
              </w:rPr>
              <w:t>8</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F2EB">
            <w:pPr>
              <w:jc w:val="center"/>
              <w:textAlignment w:val="center"/>
              <w:rPr>
                <w:color w:val="000000"/>
                <w:szCs w:val="21"/>
              </w:rPr>
            </w:pPr>
            <w:r>
              <w:rPr>
                <w:color w:val="000000"/>
                <w:kern w:val="0"/>
                <w:szCs w:val="21"/>
              </w:rPr>
              <w:t>9</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E95F">
            <w:pPr>
              <w:jc w:val="center"/>
              <w:textAlignment w:val="center"/>
              <w:rPr>
                <w:color w:val="000000"/>
                <w:szCs w:val="21"/>
              </w:rPr>
            </w:pPr>
            <w:r>
              <w:rPr>
                <w:color w:val="000000"/>
                <w:kern w:val="0"/>
                <w:szCs w:val="21"/>
              </w:rPr>
              <w:t>10</w:t>
            </w:r>
          </w:p>
        </w:tc>
      </w:tr>
      <w:tr w14:paraId="7E38AA7A">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2C49">
            <w:pPr>
              <w:jc w:val="center"/>
              <w:textAlignment w:val="center"/>
              <w:rPr>
                <w:color w:val="000000"/>
                <w:szCs w:val="21"/>
              </w:rPr>
            </w:pPr>
            <w:r>
              <w:rPr>
                <w:color w:val="000000"/>
                <w:kern w:val="0"/>
                <w:szCs w:val="21"/>
              </w:rPr>
              <w:t>修正系数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CED5">
            <w:pPr>
              <w:jc w:val="center"/>
              <w:rPr>
                <w:rFonts w:eastAsia="等线"/>
                <w:color w:val="000000"/>
                <w:kern w:val="0"/>
                <w:szCs w:val="21"/>
              </w:rPr>
            </w:pPr>
            <w:r>
              <w:rPr>
                <w:rFonts w:eastAsia="等线"/>
                <w:color w:val="000000"/>
                <w:szCs w:val="21"/>
              </w:rPr>
              <w:t xml:space="preserve">0.3064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64F7">
            <w:pPr>
              <w:jc w:val="center"/>
              <w:rPr>
                <w:rFonts w:eastAsia="等线"/>
                <w:color w:val="000000"/>
                <w:szCs w:val="21"/>
              </w:rPr>
            </w:pPr>
            <w:r>
              <w:rPr>
                <w:rFonts w:eastAsia="等线"/>
                <w:color w:val="000000"/>
                <w:szCs w:val="21"/>
              </w:rPr>
              <w:t xml:space="preserve">0.3506 </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721D">
            <w:pPr>
              <w:jc w:val="center"/>
              <w:rPr>
                <w:rFonts w:eastAsia="等线"/>
                <w:color w:val="000000"/>
                <w:szCs w:val="21"/>
              </w:rPr>
            </w:pPr>
            <w:r>
              <w:rPr>
                <w:rFonts w:eastAsia="等线"/>
                <w:color w:val="000000"/>
                <w:szCs w:val="21"/>
              </w:rPr>
              <w:t xml:space="preserve">0.3931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9B50">
            <w:pPr>
              <w:jc w:val="center"/>
              <w:rPr>
                <w:rFonts w:eastAsia="等线"/>
                <w:color w:val="000000"/>
                <w:kern w:val="0"/>
                <w:szCs w:val="21"/>
              </w:rPr>
            </w:pPr>
            <w:r>
              <w:rPr>
                <w:rFonts w:eastAsia="等线"/>
                <w:color w:val="000000"/>
                <w:szCs w:val="21"/>
              </w:rPr>
              <w:t xml:space="preserve">0.4339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C5CA">
            <w:pPr>
              <w:jc w:val="center"/>
              <w:rPr>
                <w:rFonts w:eastAsia="等线"/>
                <w:color w:val="000000"/>
                <w:szCs w:val="21"/>
              </w:rPr>
            </w:pPr>
            <w:r>
              <w:rPr>
                <w:rFonts w:eastAsia="等线"/>
                <w:color w:val="000000"/>
                <w:szCs w:val="21"/>
              </w:rPr>
              <w:t xml:space="preserve">0.4731 </w:t>
            </w:r>
          </w:p>
        </w:tc>
      </w:tr>
      <w:tr w14:paraId="78CCC643">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2985">
            <w:pPr>
              <w:jc w:val="center"/>
              <w:textAlignment w:val="center"/>
              <w:rPr>
                <w:color w:val="000000"/>
                <w:szCs w:val="21"/>
              </w:rPr>
            </w:pPr>
            <w:r>
              <w:rPr>
                <w:color w:val="000000"/>
                <w:kern w:val="0"/>
                <w:szCs w:val="21"/>
              </w:rPr>
              <w:t>使用年期</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1D66">
            <w:pPr>
              <w:jc w:val="center"/>
              <w:textAlignment w:val="center"/>
              <w:rPr>
                <w:color w:val="000000"/>
                <w:szCs w:val="21"/>
              </w:rPr>
            </w:pPr>
            <w:r>
              <w:rPr>
                <w:color w:val="000000"/>
                <w:kern w:val="0"/>
                <w:szCs w:val="21"/>
              </w:rPr>
              <w:t>11</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917F">
            <w:pPr>
              <w:jc w:val="center"/>
              <w:textAlignment w:val="center"/>
              <w:rPr>
                <w:color w:val="000000"/>
                <w:szCs w:val="21"/>
              </w:rPr>
            </w:pPr>
            <w:r>
              <w:rPr>
                <w:color w:val="000000"/>
                <w:kern w:val="0"/>
                <w:szCs w:val="21"/>
              </w:rPr>
              <w:t>12</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5509">
            <w:pPr>
              <w:jc w:val="center"/>
              <w:textAlignment w:val="center"/>
              <w:rPr>
                <w:color w:val="000000"/>
                <w:szCs w:val="21"/>
              </w:rPr>
            </w:pPr>
            <w:r>
              <w:rPr>
                <w:color w:val="000000"/>
                <w:kern w:val="0"/>
                <w:szCs w:val="21"/>
              </w:rPr>
              <w:t>13</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0929">
            <w:pPr>
              <w:jc w:val="center"/>
              <w:textAlignment w:val="center"/>
              <w:rPr>
                <w:color w:val="000000"/>
                <w:szCs w:val="21"/>
              </w:rPr>
            </w:pPr>
            <w:r>
              <w:rPr>
                <w:color w:val="000000"/>
                <w:kern w:val="0"/>
                <w:szCs w:val="21"/>
              </w:rPr>
              <w:t>14</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2063">
            <w:pPr>
              <w:jc w:val="center"/>
              <w:textAlignment w:val="center"/>
              <w:rPr>
                <w:color w:val="000000"/>
                <w:szCs w:val="21"/>
              </w:rPr>
            </w:pPr>
            <w:r>
              <w:rPr>
                <w:color w:val="000000"/>
                <w:kern w:val="0"/>
                <w:szCs w:val="21"/>
              </w:rPr>
              <w:t>15</w:t>
            </w:r>
          </w:p>
        </w:tc>
      </w:tr>
      <w:tr w14:paraId="5B90A6AF">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8EE9">
            <w:pPr>
              <w:jc w:val="center"/>
              <w:textAlignment w:val="center"/>
              <w:rPr>
                <w:color w:val="000000"/>
                <w:szCs w:val="21"/>
              </w:rPr>
            </w:pPr>
            <w:r>
              <w:rPr>
                <w:color w:val="000000"/>
                <w:kern w:val="0"/>
                <w:szCs w:val="21"/>
              </w:rPr>
              <w:t>修正系数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C8F7">
            <w:pPr>
              <w:jc w:val="center"/>
              <w:rPr>
                <w:rFonts w:eastAsia="等线"/>
                <w:color w:val="000000"/>
                <w:kern w:val="0"/>
                <w:szCs w:val="21"/>
              </w:rPr>
            </w:pPr>
            <w:r>
              <w:rPr>
                <w:rFonts w:eastAsia="等线"/>
                <w:color w:val="000000"/>
                <w:szCs w:val="21"/>
              </w:rPr>
              <w:t xml:space="preserve">0.5107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30C5">
            <w:pPr>
              <w:jc w:val="center"/>
              <w:rPr>
                <w:rFonts w:eastAsia="等线"/>
                <w:color w:val="000000"/>
                <w:szCs w:val="21"/>
              </w:rPr>
            </w:pPr>
            <w:r>
              <w:rPr>
                <w:rFonts w:eastAsia="等线"/>
                <w:color w:val="000000"/>
                <w:szCs w:val="21"/>
              </w:rPr>
              <w:t xml:space="preserve">0.5469 </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E8E7">
            <w:pPr>
              <w:jc w:val="center"/>
              <w:rPr>
                <w:rFonts w:eastAsia="等线"/>
                <w:color w:val="000000"/>
                <w:szCs w:val="21"/>
              </w:rPr>
            </w:pPr>
            <w:r>
              <w:rPr>
                <w:rFonts w:eastAsia="等线"/>
                <w:color w:val="000000"/>
                <w:szCs w:val="21"/>
              </w:rPr>
              <w:t xml:space="preserve">0.5816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9CC8">
            <w:pPr>
              <w:jc w:val="center"/>
              <w:rPr>
                <w:rFonts w:eastAsia="等线"/>
                <w:color w:val="000000"/>
                <w:szCs w:val="21"/>
              </w:rPr>
            </w:pPr>
            <w:r>
              <w:rPr>
                <w:rFonts w:eastAsia="等线"/>
                <w:color w:val="000000"/>
                <w:szCs w:val="21"/>
              </w:rPr>
              <w:t xml:space="preserve">0.6149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53B5">
            <w:pPr>
              <w:jc w:val="center"/>
              <w:rPr>
                <w:rFonts w:eastAsia="等线"/>
                <w:color w:val="000000"/>
                <w:szCs w:val="21"/>
              </w:rPr>
            </w:pPr>
            <w:r>
              <w:rPr>
                <w:rFonts w:eastAsia="等线"/>
                <w:color w:val="000000"/>
                <w:szCs w:val="21"/>
              </w:rPr>
              <w:t xml:space="preserve">0.6469 </w:t>
            </w:r>
          </w:p>
        </w:tc>
      </w:tr>
      <w:tr w14:paraId="7DECF155">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E33B">
            <w:pPr>
              <w:jc w:val="center"/>
              <w:textAlignment w:val="center"/>
              <w:rPr>
                <w:color w:val="000000"/>
                <w:szCs w:val="21"/>
              </w:rPr>
            </w:pPr>
            <w:r>
              <w:rPr>
                <w:color w:val="000000"/>
                <w:kern w:val="0"/>
                <w:szCs w:val="21"/>
              </w:rPr>
              <w:t>使用年期</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E4AA">
            <w:pPr>
              <w:jc w:val="center"/>
              <w:textAlignment w:val="center"/>
              <w:rPr>
                <w:color w:val="000000"/>
                <w:szCs w:val="21"/>
              </w:rPr>
            </w:pPr>
            <w:r>
              <w:rPr>
                <w:color w:val="000000"/>
                <w:kern w:val="0"/>
                <w:szCs w:val="21"/>
              </w:rPr>
              <w:t>16</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8AB7">
            <w:pPr>
              <w:jc w:val="center"/>
              <w:textAlignment w:val="center"/>
              <w:rPr>
                <w:color w:val="000000"/>
                <w:szCs w:val="21"/>
              </w:rPr>
            </w:pPr>
            <w:r>
              <w:rPr>
                <w:color w:val="000000"/>
                <w:kern w:val="0"/>
                <w:szCs w:val="21"/>
              </w:rPr>
              <w:t>17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CD46">
            <w:pPr>
              <w:jc w:val="center"/>
              <w:textAlignment w:val="center"/>
              <w:rPr>
                <w:color w:val="000000"/>
                <w:szCs w:val="21"/>
              </w:rPr>
            </w:pPr>
            <w:r>
              <w:rPr>
                <w:color w:val="000000"/>
                <w:kern w:val="0"/>
                <w:szCs w:val="21"/>
              </w:rPr>
              <w:t>18</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B5FF3">
            <w:pPr>
              <w:jc w:val="center"/>
              <w:textAlignment w:val="center"/>
              <w:rPr>
                <w:color w:val="000000"/>
                <w:szCs w:val="21"/>
              </w:rPr>
            </w:pPr>
            <w:r>
              <w:rPr>
                <w:color w:val="000000"/>
                <w:kern w:val="0"/>
                <w:szCs w:val="21"/>
              </w:rPr>
              <w:t>19</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6998">
            <w:pPr>
              <w:jc w:val="center"/>
              <w:textAlignment w:val="center"/>
              <w:rPr>
                <w:color w:val="000000"/>
                <w:szCs w:val="21"/>
              </w:rPr>
            </w:pPr>
            <w:r>
              <w:rPr>
                <w:color w:val="000000"/>
                <w:kern w:val="0"/>
                <w:szCs w:val="21"/>
              </w:rPr>
              <w:t>20</w:t>
            </w:r>
          </w:p>
        </w:tc>
      </w:tr>
      <w:tr w14:paraId="4FCB98E8">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DAFA">
            <w:pPr>
              <w:jc w:val="center"/>
              <w:textAlignment w:val="center"/>
              <w:rPr>
                <w:color w:val="000000"/>
                <w:szCs w:val="21"/>
              </w:rPr>
            </w:pPr>
            <w:r>
              <w:rPr>
                <w:color w:val="000000"/>
                <w:kern w:val="0"/>
                <w:szCs w:val="21"/>
              </w:rPr>
              <w:t>修正系数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2892">
            <w:pPr>
              <w:jc w:val="center"/>
              <w:rPr>
                <w:rFonts w:eastAsia="等线"/>
                <w:color w:val="000000"/>
                <w:kern w:val="0"/>
                <w:szCs w:val="21"/>
              </w:rPr>
            </w:pPr>
            <w:r>
              <w:rPr>
                <w:rFonts w:eastAsia="等线"/>
                <w:color w:val="000000"/>
                <w:szCs w:val="21"/>
              </w:rPr>
              <w:t xml:space="preserve">0.6777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16E5">
            <w:pPr>
              <w:jc w:val="center"/>
              <w:rPr>
                <w:rFonts w:eastAsia="等线"/>
                <w:color w:val="000000"/>
                <w:kern w:val="0"/>
                <w:szCs w:val="21"/>
              </w:rPr>
            </w:pPr>
            <w:r>
              <w:rPr>
                <w:rFonts w:eastAsia="等线"/>
                <w:color w:val="000000"/>
                <w:szCs w:val="21"/>
              </w:rPr>
              <w:t xml:space="preserve">0.7072 </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363C">
            <w:pPr>
              <w:jc w:val="center"/>
              <w:rPr>
                <w:rFonts w:eastAsia="等线"/>
                <w:color w:val="000000"/>
                <w:szCs w:val="21"/>
              </w:rPr>
            </w:pPr>
            <w:r>
              <w:rPr>
                <w:rFonts w:eastAsia="等线"/>
                <w:color w:val="000000"/>
                <w:szCs w:val="21"/>
              </w:rPr>
              <w:t xml:space="preserve">0.7356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F47D">
            <w:pPr>
              <w:jc w:val="center"/>
              <w:rPr>
                <w:rFonts w:eastAsia="等线"/>
                <w:color w:val="000000"/>
                <w:szCs w:val="21"/>
              </w:rPr>
            </w:pPr>
            <w:r>
              <w:rPr>
                <w:rFonts w:eastAsia="等线"/>
                <w:color w:val="000000"/>
                <w:szCs w:val="21"/>
              </w:rPr>
              <w:t xml:space="preserve">0.7628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67F4">
            <w:pPr>
              <w:jc w:val="center"/>
              <w:rPr>
                <w:rFonts w:eastAsia="等线"/>
                <w:color w:val="000000"/>
                <w:szCs w:val="21"/>
              </w:rPr>
            </w:pPr>
            <w:r>
              <w:rPr>
                <w:rFonts w:eastAsia="等线"/>
                <w:color w:val="000000"/>
                <w:szCs w:val="21"/>
              </w:rPr>
              <w:t xml:space="preserve">0.7890 </w:t>
            </w:r>
          </w:p>
        </w:tc>
      </w:tr>
      <w:tr w14:paraId="54FEAEBF">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4C40">
            <w:pPr>
              <w:jc w:val="center"/>
              <w:textAlignment w:val="center"/>
              <w:rPr>
                <w:color w:val="000000"/>
                <w:szCs w:val="21"/>
              </w:rPr>
            </w:pPr>
            <w:r>
              <w:rPr>
                <w:color w:val="000000"/>
                <w:kern w:val="0"/>
                <w:szCs w:val="21"/>
              </w:rPr>
              <w:t>使用年期</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D38D">
            <w:pPr>
              <w:jc w:val="center"/>
              <w:textAlignment w:val="center"/>
              <w:rPr>
                <w:color w:val="000000"/>
                <w:szCs w:val="21"/>
              </w:rPr>
            </w:pPr>
            <w:r>
              <w:rPr>
                <w:color w:val="000000"/>
                <w:kern w:val="0"/>
                <w:szCs w:val="21"/>
              </w:rPr>
              <w:t>21</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BF12">
            <w:pPr>
              <w:jc w:val="center"/>
              <w:textAlignment w:val="center"/>
              <w:rPr>
                <w:color w:val="000000"/>
                <w:szCs w:val="21"/>
              </w:rPr>
            </w:pPr>
            <w:r>
              <w:rPr>
                <w:color w:val="000000"/>
                <w:kern w:val="0"/>
                <w:szCs w:val="21"/>
              </w:rPr>
              <w:t>22</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5B4E">
            <w:pPr>
              <w:jc w:val="center"/>
              <w:textAlignment w:val="center"/>
              <w:rPr>
                <w:color w:val="000000"/>
                <w:szCs w:val="21"/>
              </w:rPr>
            </w:pPr>
            <w:r>
              <w:rPr>
                <w:color w:val="000000"/>
                <w:kern w:val="0"/>
                <w:szCs w:val="21"/>
              </w:rPr>
              <w:t>23</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ED9D">
            <w:pPr>
              <w:jc w:val="center"/>
              <w:textAlignment w:val="center"/>
              <w:rPr>
                <w:color w:val="000000"/>
                <w:szCs w:val="21"/>
              </w:rPr>
            </w:pPr>
            <w:r>
              <w:rPr>
                <w:color w:val="000000"/>
                <w:kern w:val="0"/>
                <w:szCs w:val="21"/>
              </w:rPr>
              <w:t>24</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5320">
            <w:pPr>
              <w:jc w:val="center"/>
              <w:textAlignment w:val="center"/>
              <w:rPr>
                <w:color w:val="000000"/>
                <w:szCs w:val="21"/>
              </w:rPr>
            </w:pPr>
            <w:r>
              <w:rPr>
                <w:color w:val="000000"/>
                <w:kern w:val="0"/>
                <w:szCs w:val="21"/>
              </w:rPr>
              <w:t>25</w:t>
            </w:r>
          </w:p>
        </w:tc>
      </w:tr>
      <w:tr w14:paraId="20C46C86">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8655">
            <w:pPr>
              <w:jc w:val="center"/>
              <w:textAlignment w:val="center"/>
              <w:rPr>
                <w:color w:val="000000"/>
                <w:szCs w:val="21"/>
              </w:rPr>
            </w:pPr>
            <w:r>
              <w:rPr>
                <w:color w:val="000000"/>
                <w:kern w:val="0"/>
                <w:szCs w:val="21"/>
              </w:rPr>
              <w:t>修正系数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1619">
            <w:pPr>
              <w:jc w:val="center"/>
              <w:rPr>
                <w:rFonts w:eastAsia="等线"/>
                <w:color w:val="000000"/>
                <w:kern w:val="0"/>
                <w:szCs w:val="21"/>
              </w:rPr>
            </w:pPr>
            <w:r>
              <w:rPr>
                <w:rFonts w:eastAsia="等线"/>
                <w:color w:val="000000"/>
                <w:szCs w:val="21"/>
              </w:rPr>
              <w:t xml:space="preserve">0.8141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943C">
            <w:pPr>
              <w:jc w:val="center"/>
              <w:rPr>
                <w:rFonts w:eastAsia="等线"/>
                <w:color w:val="000000"/>
                <w:szCs w:val="21"/>
              </w:rPr>
            </w:pPr>
            <w:r>
              <w:rPr>
                <w:rFonts w:eastAsia="等线"/>
                <w:color w:val="000000"/>
                <w:szCs w:val="21"/>
              </w:rPr>
              <w:t xml:space="preserve">0.8383 </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1BD3">
            <w:pPr>
              <w:jc w:val="center"/>
              <w:rPr>
                <w:rFonts w:eastAsia="等线"/>
                <w:color w:val="000000"/>
                <w:szCs w:val="21"/>
              </w:rPr>
            </w:pPr>
            <w:r>
              <w:rPr>
                <w:rFonts w:eastAsia="等线"/>
                <w:color w:val="000000"/>
                <w:szCs w:val="21"/>
              </w:rPr>
              <w:t xml:space="preserve">0.8615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64C5">
            <w:pPr>
              <w:jc w:val="center"/>
              <w:rPr>
                <w:rFonts w:eastAsia="等线"/>
                <w:color w:val="000000"/>
                <w:szCs w:val="21"/>
              </w:rPr>
            </w:pPr>
            <w:r>
              <w:rPr>
                <w:rFonts w:eastAsia="等线"/>
                <w:color w:val="000000"/>
                <w:szCs w:val="21"/>
              </w:rPr>
              <w:t xml:space="preserve">0.8837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B0E3">
            <w:pPr>
              <w:jc w:val="center"/>
              <w:rPr>
                <w:rFonts w:eastAsia="等线"/>
                <w:color w:val="000000"/>
                <w:kern w:val="0"/>
                <w:szCs w:val="21"/>
              </w:rPr>
            </w:pPr>
            <w:r>
              <w:rPr>
                <w:rFonts w:eastAsia="等线"/>
                <w:color w:val="000000"/>
                <w:szCs w:val="21"/>
              </w:rPr>
              <w:t xml:space="preserve">0.9051 </w:t>
            </w:r>
          </w:p>
        </w:tc>
      </w:tr>
      <w:tr w14:paraId="2565EE4E">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9A0E">
            <w:pPr>
              <w:jc w:val="center"/>
              <w:textAlignment w:val="center"/>
              <w:rPr>
                <w:color w:val="000000"/>
                <w:szCs w:val="21"/>
              </w:rPr>
            </w:pPr>
            <w:r>
              <w:rPr>
                <w:color w:val="000000"/>
                <w:kern w:val="0"/>
                <w:szCs w:val="21"/>
              </w:rPr>
              <w:t>使用年期</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7AD1">
            <w:pPr>
              <w:jc w:val="center"/>
              <w:textAlignment w:val="center"/>
              <w:rPr>
                <w:color w:val="000000"/>
                <w:szCs w:val="21"/>
              </w:rPr>
            </w:pPr>
            <w:r>
              <w:rPr>
                <w:color w:val="000000"/>
                <w:kern w:val="0"/>
                <w:szCs w:val="21"/>
              </w:rPr>
              <w:t>26</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414A">
            <w:pPr>
              <w:jc w:val="center"/>
              <w:textAlignment w:val="center"/>
              <w:rPr>
                <w:color w:val="000000"/>
                <w:szCs w:val="21"/>
              </w:rPr>
            </w:pPr>
            <w:r>
              <w:rPr>
                <w:color w:val="000000"/>
                <w:kern w:val="0"/>
                <w:szCs w:val="21"/>
              </w:rPr>
              <w:t>27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0011">
            <w:pPr>
              <w:jc w:val="center"/>
              <w:textAlignment w:val="center"/>
              <w:rPr>
                <w:color w:val="000000"/>
                <w:szCs w:val="21"/>
              </w:rPr>
            </w:pPr>
            <w:r>
              <w:rPr>
                <w:color w:val="000000"/>
                <w:kern w:val="0"/>
                <w:szCs w:val="21"/>
              </w:rPr>
              <w:t>28</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20B0">
            <w:pPr>
              <w:jc w:val="center"/>
              <w:textAlignment w:val="center"/>
              <w:rPr>
                <w:color w:val="000000"/>
                <w:szCs w:val="21"/>
              </w:rPr>
            </w:pPr>
            <w:r>
              <w:rPr>
                <w:color w:val="000000"/>
                <w:kern w:val="0"/>
                <w:szCs w:val="21"/>
              </w:rPr>
              <w:t>29</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B09B">
            <w:pPr>
              <w:jc w:val="center"/>
              <w:textAlignment w:val="center"/>
              <w:rPr>
                <w:color w:val="000000"/>
                <w:szCs w:val="21"/>
              </w:rPr>
            </w:pPr>
            <w:r>
              <w:rPr>
                <w:color w:val="000000"/>
                <w:kern w:val="0"/>
                <w:szCs w:val="21"/>
              </w:rPr>
              <w:t>30</w:t>
            </w:r>
          </w:p>
        </w:tc>
      </w:tr>
      <w:tr w14:paraId="4980C820">
        <w:tblPrEx>
          <w:tblCellMar>
            <w:top w:w="15" w:type="dxa"/>
            <w:left w:w="15" w:type="dxa"/>
            <w:bottom w:w="15" w:type="dxa"/>
            <w:right w:w="15" w:type="dxa"/>
          </w:tblCellMar>
        </w:tblPrEx>
        <w:trPr>
          <w:trHeight w:val="286"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E782">
            <w:pPr>
              <w:jc w:val="center"/>
              <w:textAlignment w:val="center"/>
              <w:rPr>
                <w:color w:val="000000"/>
                <w:szCs w:val="21"/>
              </w:rPr>
            </w:pPr>
            <w:r>
              <w:rPr>
                <w:color w:val="000000"/>
                <w:kern w:val="0"/>
                <w:szCs w:val="21"/>
              </w:rPr>
              <w:t>修正系数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A47A">
            <w:pPr>
              <w:jc w:val="center"/>
              <w:rPr>
                <w:rFonts w:eastAsia="等线"/>
                <w:color w:val="000000"/>
                <w:kern w:val="0"/>
                <w:szCs w:val="21"/>
              </w:rPr>
            </w:pPr>
            <w:r>
              <w:rPr>
                <w:rFonts w:eastAsia="等线"/>
                <w:color w:val="000000"/>
                <w:szCs w:val="21"/>
              </w:rPr>
              <w:t xml:space="preserve">0.9257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E5A1">
            <w:pPr>
              <w:jc w:val="center"/>
              <w:rPr>
                <w:rFonts w:eastAsia="等线"/>
                <w:color w:val="000000"/>
                <w:szCs w:val="21"/>
              </w:rPr>
            </w:pPr>
            <w:r>
              <w:rPr>
                <w:rFonts w:eastAsia="等线"/>
                <w:color w:val="000000"/>
                <w:szCs w:val="21"/>
              </w:rPr>
              <w:t xml:space="preserve">0.9454 </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03B6">
            <w:pPr>
              <w:jc w:val="center"/>
              <w:rPr>
                <w:rFonts w:eastAsia="等线"/>
                <w:color w:val="000000"/>
                <w:szCs w:val="21"/>
              </w:rPr>
            </w:pPr>
            <w:r>
              <w:rPr>
                <w:rFonts w:eastAsia="等线"/>
                <w:color w:val="000000"/>
                <w:szCs w:val="21"/>
              </w:rPr>
              <w:t xml:space="preserve">0.9643 </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31FC">
            <w:pPr>
              <w:jc w:val="center"/>
              <w:rPr>
                <w:rFonts w:eastAsia="等线"/>
                <w:color w:val="000000"/>
                <w:szCs w:val="21"/>
              </w:rPr>
            </w:pPr>
            <w:r>
              <w:rPr>
                <w:rFonts w:eastAsia="等线"/>
                <w:color w:val="000000"/>
                <w:szCs w:val="21"/>
              </w:rPr>
              <w:t xml:space="preserve">0.9825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549E">
            <w:pPr>
              <w:jc w:val="center"/>
              <w:rPr>
                <w:rFonts w:eastAsia="等线"/>
                <w:color w:val="000000"/>
                <w:szCs w:val="21"/>
              </w:rPr>
            </w:pPr>
            <w:r>
              <w:rPr>
                <w:rFonts w:eastAsia="等线"/>
                <w:color w:val="000000"/>
                <w:szCs w:val="21"/>
              </w:rPr>
              <w:t xml:space="preserve">1.0000 </w:t>
            </w:r>
          </w:p>
        </w:tc>
      </w:tr>
    </w:tbl>
    <w:p w14:paraId="654B6504">
      <w:pPr>
        <w:pStyle w:val="4"/>
        <w:widowControl w:val="0"/>
        <w:tabs>
          <w:tab w:val="left" w:pos="720"/>
        </w:tabs>
        <w:spacing w:before="120" w:after="120" w:line="500" w:lineRule="exact"/>
        <w:ind w:left="826" w:hanging="826"/>
        <w:jc w:val="both"/>
        <w:rPr>
          <w:rFonts w:ascii="宋体" w:hAnsi="宋体"/>
          <w:sz w:val="24"/>
          <w:szCs w:val="24"/>
        </w:rPr>
      </w:pPr>
      <w:bookmarkStart w:id="254" w:name="_Toc47384656"/>
      <w:bookmarkStart w:id="255" w:name="_Toc535399967"/>
      <w:r>
        <w:rPr>
          <w:rFonts w:hint="eastAsia" w:ascii="宋体" w:hAnsi="宋体"/>
          <w:sz w:val="24"/>
          <w:szCs w:val="24"/>
        </w:rPr>
        <w:t>5</w:t>
      </w:r>
      <w:r>
        <w:rPr>
          <w:rFonts w:ascii="宋体" w:hAnsi="宋体"/>
          <w:sz w:val="24"/>
          <w:szCs w:val="24"/>
        </w:rPr>
        <w:t xml:space="preserve">.3.3 </w:t>
      </w:r>
      <w:r>
        <w:rPr>
          <w:rFonts w:hint="eastAsia" w:ascii="宋体" w:hAnsi="宋体"/>
          <w:sz w:val="24"/>
          <w:szCs w:val="24"/>
        </w:rPr>
        <w:t>交易期日修正系数</w:t>
      </w:r>
      <w:bookmarkEnd w:id="254"/>
      <w:bookmarkEnd w:id="255"/>
    </w:p>
    <w:p w14:paraId="169D744F">
      <w:pPr>
        <w:spacing w:line="360" w:lineRule="auto"/>
        <w:ind w:firstLine="480" w:firstLineChars="200"/>
        <w:rPr>
          <w:rFonts w:ascii="宋体" w:hAnsi="宋体" w:cs="宋体"/>
          <w:sz w:val="24"/>
        </w:rPr>
      </w:pPr>
      <w:r>
        <w:rPr>
          <w:rFonts w:hint="eastAsia" w:ascii="宋体" w:hAnsi="宋体" w:cs="宋体"/>
          <w:sz w:val="24"/>
        </w:rPr>
        <w:t>待估宗地的基准期日与基准地价的基准期日存在</w:t>
      </w:r>
      <w:r>
        <w:rPr>
          <w:rFonts w:ascii="宋体" w:hAnsi="宋体" w:cs="宋体"/>
          <w:sz w:val="24"/>
        </w:rPr>
        <w:t>差异，会影响基准地价的评估</w:t>
      </w:r>
      <w:r>
        <w:rPr>
          <w:rFonts w:hint="eastAsia" w:ascii="宋体" w:hAnsi="宋体" w:cs="宋体"/>
          <w:sz w:val="24"/>
        </w:rPr>
        <w:t>。本次鄂州市</w:t>
      </w:r>
      <w:r>
        <w:rPr>
          <w:rFonts w:ascii="宋体" w:hAnsi="宋体" w:cs="宋体"/>
          <w:sz w:val="24"/>
        </w:rPr>
        <w:t>国有农用地基准地价评估工作</w:t>
      </w:r>
      <w:r>
        <w:rPr>
          <w:rFonts w:hint="eastAsia" w:ascii="宋体" w:hAnsi="宋体" w:cs="宋体"/>
          <w:sz w:val="24"/>
        </w:rPr>
        <w:t>根据农产品生产价格指数进行期日修正，修正结果见表5-11。</w:t>
      </w:r>
    </w:p>
    <w:p w14:paraId="59D8FB95">
      <w:pPr>
        <w:ind w:firstLine="422"/>
        <w:jc w:val="center"/>
        <w:rPr>
          <w:b/>
          <w:szCs w:val="21"/>
        </w:rPr>
      </w:pPr>
      <w:r>
        <w:rPr>
          <w:rFonts w:hint="eastAsia"/>
          <w:b/>
          <w:szCs w:val="21"/>
        </w:rPr>
        <w:t>表5-11 鄂州市国有农用地交易期日修正</w:t>
      </w:r>
    </w:p>
    <w:tbl>
      <w:tblPr>
        <w:tblStyle w:val="3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671"/>
        <w:gridCol w:w="671"/>
        <w:gridCol w:w="671"/>
        <w:gridCol w:w="672"/>
        <w:gridCol w:w="671"/>
        <w:gridCol w:w="671"/>
        <w:gridCol w:w="672"/>
        <w:gridCol w:w="671"/>
        <w:gridCol w:w="671"/>
        <w:gridCol w:w="672"/>
      </w:tblGrid>
      <w:tr w14:paraId="20A1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dxa"/>
            <w:vMerge w:val="restart"/>
            <w:vAlign w:val="center"/>
          </w:tcPr>
          <w:p w14:paraId="51096700">
            <w:pPr>
              <w:jc w:val="center"/>
              <w:rPr>
                <w:kern w:val="0"/>
              </w:rPr>
            </w:pPr>
            <w:r>
              <w:rPr>
                <w:kern w:val="0"/>
              </w:rPr>
              <w:t>交易</w:t>
            </w:r>
          </w:p>
          <w:p w14:paraId="07AABE94">
            <w:pPr>
              <w:jc w:val="center"/>
              <w:rPr>
                <w:rFonts w:eastAsia="Times New Roman"/>
                <w:kern w:val="0"/>
              </w:rPr>
            </w:pPr>
            <w:r>
              <w:rPr>
                <w:kern w:val="0"/>
              </w:rPr>
              <w:t>时间</w:t>
            </w:r>
          </w:p>
        </w:tc>
        <w:tc>
          <w:tcPr>
            <w:tcW w:w="992" w:type="dxa"/>
            <w:vAlign w:val="center"/>
          </w:tcPr>
          <w:p w14:paraId="3E2CA2D8">
            <w:pPr>
              <w:jc w:val="center"/>
              <w:rPr>
                <w:kern w:val="0"/>
              </w:rPr>
            </w:pPr>
            <w:r>
              <w:rPr>
                <w:kern w:val="0"/>
              </w:rPr>
              <w:t>2013</w:t>
            </w:r>
            <w:r>
              <w:rPr>
                <w:rFonts w:hint="eastAsia"/>
                <w:kern w:val="0"/>
              </w:rPr>
              <w:t>年</w:t>
            </w:r>
          </w:p>
        </w:tc>
        <w:tc>
          <w:tcPr>
            <w:tcW w:w="1342" w:type="dxa"/>
            <w:gridSpan w:val="2"/>
            <w:vAlign w:val="center"/>
          </w:tcPr>
          <w:p w14:paraId="5C9254A3">
            <w:pPr>
              <w:jc w:val="center"/>
              <w:rPr>
                <w:kern w:val="0"/>
              </w:rPr>
            </w:pPr>
            <w:r>
              <w:rPr>
                <w:kern w:val="0"/>
              </w:rPr>
              <w:t>2014</w:t>
            </w:r>
            <w:r>
              <w:rPr>
                <w:rFonts w:hint="eastAsia"/>
                <w:kern w:val="0"/>
              </w:rPr>
              <w:t>年</w:t>
            </w:r>
          </w:p>
        </w:tc>
        <w:tc>
          <w:tcPr>
            <w:tcW w:w="1343" w:type="dxa"/>
            <w:gridSpan w:val="2"/>
            <w:vAlign w:val="center"/>
          </w:tcPr>
          <w:p w14:paraId="2A7FE9A8">
            <w:pPr>
              <w:jc w:val="center"/>
              <w:rPr>
                <w:kern w:val="0"/>
              </w:rPr>
            </w:pPr>
            <w:r>
              <w:rPr>
                <w:kern w:val="0"/>
              </w:rPr>
              <w:t>2015</w:t>
            </w:r>
            <w:r>
              <w:rPr>
                <w:rFonts w:hint="eastAsia"/>
                <w:kern w:val="0"/>
              </w:rPr>
              <w:t>年</w:t>
            </w:r>
          </w:p>
        </w:tc>
        <w:tc>
          <w:tcPr>
            <w:tcW w:w="1342" w:type="dxa"/>
            <w:gridSpan w:val="2"/>
            <w:vAlign w:val="center"/>
          </w:tcPr>
          <w:p w14:paraId="6C8C7272">
            <w:pPr>
              <w:jc w:val="center"/>
              <w:rPr>
                <w:kern w:val="0"/>
              </w:rPr>
            </w:pPr>
            <w:r>
              <w:rPr>
                <w:kern w:val="0"/>
              </w:rPr>
              <w:t>2016</w:t>
            </w:r>
            <w:r>
              <w:rPr>
                <w:rFonts w:hint="eastAsia"/>
                <w:kern w:val="0"/>
              </w:rPr>
              <w:t>年</w:t>
            </w:r>
          </w:p>
        </w:tc>
        <w:tc>
          <w:tcPr>
            <w:tcW w:w="1343" w:type="dxa"/>
            <w:gridSpan w:val="2"/>
            <w:vAlign w:val="center"/>
          </w:tcPr>
          <w:p w14:paraId="46D15378">
            <w:pPr>
              <w:jc w:val="center"/>
              <w:rPr>
                <w:kern w:val="0"/>
              </w:rPr>
            </w:pPr>
            <w:r>
              <w:rPr>
                <w:kern w:val="0"/>
              </w:rPr>
              <w:t>2017</w:t>
            </w:r>
            <w:r>
              <w:rPr>
                <w:rFonts w:hint="eastAsia"/>
                <w:kern w:val="0"/>
              </w:rPr>
              <w:t>年</w:t>
            </w:r>
          </w:p>
        </w:tc>
        <w:tc>
          <w:tcPr>
            <w:tcW w:w="1343" w:type="dxa"/>
            <w:gridSpan w:val="2"/>
            <w:vAlign w:val="center"/>
          </w:tcPr>
          <w:p w14:paraId="4CDD39EF">
            <w:pPr>
              <w:jc w:val="center"/>
              <w:rPr>
                <w:kern w:val="0"/>
              </w:rPr>
            </w:pPr>
            <w:r>
              <w:rPr>
                <w:kern w:val="0"/>
              </w:rPr>
              <w:t>2018</w:t>
            </w:r>
            <w:r>
              <w:rPr>
                <w:rFonts w:hint="eastAsia"/>
                <w:kern w:val="0"/>
              </w:rPr>
              <w:t>年</w:t>
            </w:r>
          </w:p>
        </w:tc>
      </w:tr>
      <w:tr w14:paraId="4B6E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dxa"/>
            <w:vMerge w:val="continue"/>
            <w:vAlign w:val="center"/>
          </w:tcPr>
          <w:p w14:paraId="7C57114A">
            <w:pPr>
              <w:jc w:val="center"/>
              <w:rPr>
                <w:rFonts w:eastAsia="Times New Roman"/>
                <w:kern w:val="0"/>
              </w:rPr>
            </w:pPr>
          </w:p>
        </w:tc>
        <w:tc>
          <w:tcPr>
            <w:tcW w:w="992" w:type="dxa"/>
            <w:vAlign w:val="center"/>
          </w:tcPr>
          <w:p w14:paraId="7A36825E">
            <w:pPr>
              <w:jc w:val="center"/>
              <w:rPr>
                <w:rFonts w:eastAsia="Times New Roman"/>
                <w:kern w:val="0"/>
                <w:sz w:val="18"/>
              </w:rPr>
            </w:pPr>
            <w:r>
              <w:rPr>
                <w:kern w:val="0"/>
                <w:sz w:val="18"/>
              </w:rPr>
              <w:t>6月</w:t>
            </w:r>
          </w:p>
        </w:tc>
        <w:tc>
          <w:tcPr>
            <w:tcW w:w="671" w:type="dxa"/>
            <w:vAlign w:val="center"/>
          </w:tcPr>
          <w:p w14:paraId="55645335">
            <w:pPr>
              <w:jc w:val="center"/>
              <w:rPr>
                <w:rFonts w:eastAsia="Times New Roman"/>
                <w:kern w:val="0"/>
                <w:sz w:val="18"/>
              </w:rPr>
            </w:pPr>
            <w:r>
              <w:rPr>
                <w:kern w:val="0"/>
                <w:sz w:val="18"/>
              </w:rPr>
              <w:t>1月</w:t>
            </w:r>
          </w:p>
        </w:tc>
        <w:tc>
          <w:tcPr>
            <w:tcW w:w="671" w:type="dxa"/>
            <w:vAlign w:val="center"/>
          </w:tcPr>
          <w:p w14:paraId="71A068A4">
            <w:pPr>
              <w:jc w:val="center"/>
              <w:rPr>
                <w:rFonts w:eastAsia="Times New Roman"/>
                <w:kern w:val="0"/>
                <w:sz w:val="18"/>
              </w:rPr>
            </w:pPr>
            <w:r>
              <w:rPr>
                <w:kern w:val="0"/>
                <w:sz w:val="18"/>
              </w:rPr>
              <w:t>6月</w:t>
            </w:r>
          </w:p>
        </w:tc>
        <w:tc>
          <w:tcPr>
            <w:tcW w:w="671" w:type="dxa"/>
            <w:vAlign w:val="center"/>
          </w:tcPr>
          <w:p w14:paraId="0E7016C4">
            <w:pPr>
              <w:jc w:val="center"/>
              <w:rPr>
                <w:rFonts w:eastAsia="Times New Roman"/>
                <w:kern w:val="0"/>
                <w:sz w:val="18"/>
              </w:rPr>
            </w:pPr>
            <w:r>
              <w:rPr>
                <w:kern w:val="0"/>
                <w:sz w:val="18"/>
              </w:rPr>
              <w:t>1月</w:t>
            </w:r>
          </w:p>
        </w:tc>
        <w:tc>
          <w:tcPr>
            <w:tcW w:w="672" w:type="dxa"/>
            <w:vAlign w:val="center"/>
          </w:tcPr>
          <w:p w14:paraId="154E3BE4">
            <w:pPr>
              <w:jc w:val="center"/>
              <w:rPr>
                <w:rFonts w:eastAsia="Times New Roman"/>
                <w:kern w:val="0"/>
                <w:sz w:val="18"/>
              </w:rPr>
            </w:pPr>
            <w:r>
              <w:rPr>
                <w:kern w:val="0"/>
                <w:sz w:val="18"/>
              </w:rPr>
              <w:t>6月</w:t>
            </w:r>
          </w:p>
        </w:tc>
        <w:tc>
          <w:tcPr>
            <w:tcW w:w="671" w:type="dxa"/>
            <w:vAlign w:val="center"/>
          </w:tcPr>
          <w:p w14:paraId="3EA9498D">
            <w:pPr>
              <w:jc w:val="center"/>
              <w:rPr>
                <w:rFonts w:eastAsia="Times New Roman"/>
                <w:kern w:val="0"/>
                <w:sz w:val="18"/>
              </w:rPr>
            </w:pPr>
            <w:r>
              <w:rPr>
                <w:kern w:val="0"/>
                <w:sz w:val="18"/>
              </w:rPr>
              <w:t>1月</w:t>
            </w:r>
          </w:p>
        </w:tc>
        <w:tc>
          <w:tcPr>
            <w:tcW w:w="671" w:type="dxa"/>
            <w:vAlign w:val="center"/>
          </w:tcPr>
          <w:p w14:paraId="2BE1E35B">
            <w:pPr>
              <w:jc w:val="center"/>
              <w:rPr>
                <w:rFonts w:eastAsia="Times New Roman"/>
                <w:kern w:val="0"/>
                <w:sz w:val="18"/>
              </w:rPr>
            </w:pPr>
            <w:r>
              <w:rPr>
                <w:kern w:val="0"/>
                <w:sz w:val="18"/>
              </w:rPr>
              <w:t>6月</w:t>
            </w:r>
          </w:p>
        </w:tc>
        <w:tc>
          <w:tcPr>
            <w:tcW w:w="672" w:type="dxa"/>
            <w:vAlign w:val="center"/>
          </w:tcPr>
          <w:p w14:paraId="34FF32EA">
            <w:pPr>
              <w:jc w:val="center"/>
              <w:rPr>
                <w:rFonts w:eastAsia="Times New Roman"/>
                <w:kern w:val="0"/>
                <w:sz w:val="18"/>
              </w:rPr>
            </w:pPr>
            <w:r>
              <w:rPr>
                <w:kern w:val="0"/>
                <w:sz w:val="18"/>
              </w:rPr>
              <w:t>1月</w:t>
            </w:r>
          </w:p>
        </w:tc>
        <w:tc>
          <w:tcPr>
            <w:tcW w:w="671" w:type="dxa"/>
            <w:vAlign w:val="center"/>
          </w:tcPr>
          <w:p w14:paraId="3D39EF10">
            <w:pPr>
              <w:jc w:val="center"/>
              <w:rPr>
                <w:rFonts w:eastAsia="Times New Roman"/>
                <w:kern w:val="0"/>
                <w:sz w:val="18"/>
              </w:rPr>
            </w:pPr>
            <w:r>
              <w:rPr>
                <w:kern w:val="0"/>
                <w:sz w:val="18"/>
              </w:rPr>
              <w:t>6月</w:t>
            </w:r>
          </w:p>
        </w:tc>
        <w:tc>
          <w:tcPr>
            <w:tcW w:w="671" w:type="dxa"/>
            <w:vAlign w:val="center"/>
          </w:tcPr>
          <w:p w14:paraId="2CBF87A4">
            <w:pPr>
              <w:jc w:val="center"/>
              <w:rPr>
                <w:rFonts w:eastAsia="Times New Roman"/>
                <w:kern w:val="0"/>
                <w:sz w:val="18"/>
              </w:rPr>
            </w:pPr>
            <w:r>
              <w:rPr>
                <w:kern w:val="0"/>
                <w:sz w:val="18"/>
              </w:rPr>
              <w:t>1月</w:t>
            </w:r>
          </w:p>
        </w:tc>
        <w:tc>
          <w:tcPr>
            <w:tcW w:w="672" w:type="dxa"/>
            <w:vAlign w:val="center"/>
          </w:tcPr>
          <w:p w14:paraId="0A6B2E9D">
            <w:pPr>
              <w:jc w:val="center"/>
              <w:rPr>
                <w:rFonts w:eastAsia="Times New Roman"/>
                <w:kern w:val="0"/>
                <w:sz w:val="18"/>
              </w:rPr>
            </w:pPr>
            <w:r>
              <w:rPr>
                <w:kern w:val="0"/>
                <w:sz w:val="18"/>
              </w:rPr>
              <w:t>6月</w:t>
            </w:r>
          </w:p>
        </w:tc>
      </w:tr>
      <w:tr w14:paraId="3CB8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dxa"/>
            <w:vAlign w:val="center"/>
          </w:tcPr>
          <w:p w14:paraId="4A9E7C77">
            <w:pPr>
              <w:jc w:val="center"/>
              <w:rPr>
                <w:kern w:val="0"/>
                <w:sz w:val="20"/>
              </w:rPr>
            </w:pPr>
            <w:r>
              <w:rPr>
                <w:rFonts w:hint="eastAsia"/>
                <w:kern w:val="0"/>
                <w:sz w:val="20"/>
              </w:rPr>
              <w:t>农产品</w:t>
            </w:r>
            <w:r>
              <w:rPr>
                <w:kern w:val="0"/>
                <w:sz w:val="20"/>
              </w:rPr>
              <w:t>生产价格指数</w:t>
            </w:r>
          </w:p>
        </w:tc>
        <w:tc>
          <w:tcPr>
            <w:tcW w:w="992" w:type="dxa"/>
            <w:vAlign w:val="center"/>
          </w:tcPr>
          <w:p w14:paraId="063DA567">
            <w:pPr>
              <w:jc w:val="center"/>
              <w:rPr>
                <w:rFonts w:eastAsia="等线"/>
                <w:color w:val="000000"/>
                <w:sz w:val="20"/>
                <w:szCs w:val="18"/>
              </w:rPr>
            </w:pPr>
            <w:r>
              <w:rPr>
                <w:rFonts w:hint="eastAsia" w:eastAsia="等线"/>
                <w:color w:val="000000"/>
                <w:sz w:val="20"/>
                <w:szCs w:val="18"/>
              </w:rPr>
              <w:t>104</w:t>
            </w:r>
          </w:p>
        </w:tc>
        <w:tc>
          <w:tcPr>
            <w:tcW w:w="671" w:type="dxa"/>
            <w:vAlign w:val="center"/>
          </w:tcPr>
          <w:p w14:paraId="1071F155">
            <w:pPr>
              <w:jc w:val="center"/>
              <w:rPr>
                <w:rFonts w:eastAsia="等线"/>
                <w:color w:val="000000"/>
                <w:sz w:val="20"/>
                <w:szCs w:val="18"/>
              </w:rPr>
            </w:pPr>
            <w:r>
              <w:rPr>
                <w:rFonts w:hint="eastAsia" w:eastAsia="等线"/>
                <w:color w:val="000000"/>
                <w:sz w:val="20"/>
                <w:szCs w:val="18"/>
              </w:rPr>
              <w:t>99</w:t>
            </w:r>
          </w:p>
        </w:tc>
        <w:tc>
          <w:tcPr>
            <w:tcW w:w="671" w:type="dxa"/>
            <w:vAlign w:val="center"/>
          </w:tcPr>
          <w:p w14:paraId="5036A8E3">
            <w:pPr>
              <w:jc w:val="center"/>
              <w:rPr>
                <w:rFonts w:eastAsia="等线"/>
                <w:color w:val="000000"/>
                <w:sz w:val="20"/>
                <w:szCs w:val="18"/>
              </w:rPr>
            </w:pPr>
            <w:r>
              <w:rPr>
                <w:rFonts w:hint="eastAsia" w:eastAsia="等线"/>
                <w:color w:val="000000"/>
                <w:sz w:val="20"/>
                <w:szCs w:val="18"/>
              </w:rPr>
              <w:t>97.6</w:t>
            </w:r>
          </w:p>
        </w:tc>
        <w:tc>
          <w:tcPr>
            <w:tcW w:w="671" w:type="dxa"/>
            <w:vAlign w:val="center"/>
          </w:tcPr>
          <w:p w14:paraId="7B7C8640">
            <w:pPr>
              <w:jc w:val="center"/>
              <w:rPr>
                <w:rFonts w:eastAsia="等线"/>
                <w:color w:val="000000"/>
                <w:sz w:val="20"/>
                <w:szCs w:val="18"/>
              </w:rPr>
            </w:pPr>
            <w:r>
              <w:rPr>
                <w:rFonts w:hint="eastAsia" w:eastAsia="等线"/>
                <w:color w:val="000000"/>
                <w:sz w:val="20"/>
                <w:szCs w:val="18"/>
              </w:rPr>
              <w:t>97.8</w:t>
            </w:r>
          </w:p>
        </w:tc>
        <w:tc>
          <w:tcPr>
            <w:tcW w:w="672" w:type="dxa"/>
            <w:vAlign w:val="center"/>
          </w:tcPr>
          <w:p w14:paraId="1F289257">
            <w:pPr>
              <w:jc w:val="center"/>
              <w:rPr>
                <w:rFonts w:eastAsia="等线"/>
                <w:color w:val="000000"/>
                <w:sz w:val="20"/>
                <w:szCs w:val="18"/>
              </w:rPr>
            </w:pPr>
            <w:r>
              <w:rPr>
                <w:rFonts w:hint="eastAsia" w:eastAsia="等线"/>
                <w:color w:val="000000"/>
                <w:sz w:val="20"/>
                <w:szCs w:val="18"/>
              </w:rPr>
              <w:t>100.8</w:t>
            </w:r>
          </w:p>
        </w:tc>
        <w:tc>
          <w:tcPr>
            <w:tcW w:w="671" w:type="dxa"/>
            <w:vAlign w:val="center"/>
          </w:tcPr>
          <w:p w14:paraId="1CE9ABDB">
            <w:pPr>
              <w:jc w:val="center"/>
              <w:rPr>
                <w:rFonts w:eastAsia="等线"/>
                <w:color w:val="000000"/>
                <w:sz w:val="20"/>
                <w:szCs w:val="18"/>
              </w:rPr>
            </w:pPr>
            <w:r>
              <w:rPr>
                <w:rFonts w:hint="eastAsia" w:eastAsia="等线"/>
                <w:color w:val="000000"/>
                <w:sz w:val="20"/>
                <w:szCs w:val="18"/>
              </w:rPr>
              <w:t>99.9</w:t>
            </w:r>
          </w:p>
        </w:tc>
        <w:tc>
          <w:tcPr>
            <w:tcW w:w="671" w:type="dxa"/>
            <w:vAlign w:val="center"/>
          </w:tcPr>
          <w:p w14:paraId="2A7475A7">
            <w:pPr>
              <w:jc w:val="center"/>
              <w:rPr>
                <w:rFonts w:eastAsia="等线"/>
                <w:color w:val="000000"/>
                <w:sz w:val="20"/>
                <w:szCs w:val="18"/>
              </w:rPr>
            </w:pPr>
            <w:r>
              <w:rPr>
                <w:rFonts w:hint="eastAsia" w:eastAsia="等线"/>
                <w:color w:val="000000"/>
                <w:sz w:val="20"/>
                <w:szCs w:val="18"/>
              </w:rPr>
              <w:t>100.5</w:t>
            </w:r>
          </w:p>
        </w:tc>
        <w:tc>
          <w:tcPr>
            <w:tcW w:w="672" w:type="dxa"/>
            <w:vAlign w:val="center"/>
          </w:tcPr>
          <w:p w14:paraId="5C217004">
            <w:pPr>
              <w:jc w:val="center"/>
              <w:rPr>
                <w:rFonts w:eastAsia="等线"/>
                <w:color w:val="000000"/>
                <w:sz w:val="20"/>
                <w:szCs w:val="18"/>
              </w:rPr>
            </w:pPr>
            <w:r>
              <w:rPr>
                <w:rFonts w:hint="eastAsia" w:eastAsia="等线"/>
                <w:color w:val="000000"/>
                <w:sz w:val="20"/>
                <w:szCs w:val="18"/>
              </w:rPr>
              <w:t>102.4</w:t>
            </w:r>
          </w:p>
        </w:tc>
        <w:tc>
          <w:tcPr>
            <w:tcW w:w="671" w:type="dxa"/>
            <w:vAlign w:val="center"/>
          </w:tcPr>
          <w:p w14:paraId="74A7FC93">
            <w:pPr>
              <w:jc w:val="center"/>
              <w:rPr>
                <w:rFonts w:eastAsia="等线"/>
                <w:color w:val="000000"/>
                <w:sz w:val="20"/>
                <w:szCs w:val="18"/>
              </w:rPr>
            </w:pPr>
            <w:r>
              <w:rPr>
                <w:rFonts w:hint="eastAsia" w:eastAsia="等线"/>
                <w:color w:val="000000"/>
                <w:sz w:val="20"/>
                <w:szCs w:val="18"/>
              </w:rPr>
              <w:t>100.3</w:t>
            </w:r>
          </w:p>
        </w:tc>
        <w:tc>
          <w:tcPr>
            <w:tcW w:w="671" w:type="dxa"/>
            <w:vAlign w:val="center"/>
          </w:tcPr>
          <w:p w14:paraId="37245F17">
            <w:pPr>
              <w:jc w:val="center"/>
              <w:rPr>
                <w:rFonts w:eastAsia="等线"/>
                <w:color w:val="000000"/>
                <w:sz w:val="20"/>
                <w:szCs w:val="18"/>
              </w:rPr>
            </w:pPr>
            <w:r>
              <w:rPr>
                <w:rFonts w:hint="eastAsia" w:eastAsia="等线"/>
                <w:color w:val="000000"/>
                <w:sz w:val="20"/>
                <w:szCs w:val="18"/>
              </w:rPr>
              <w:t>99.3</w:t>
            </w:r>
          </w:p>
        </w:tc>
        <w:tc>
          <w:tcPr>
            <w:tcW w:w="672" w:type="dxa"/>
            <w:vAlign w:val="center"/>
          </w:tcPr>
          <w:p w14:paraId="43A3A5B8">
            <w:pPr>
              <w:jc w:val="center"/>
              <w:rPr>
                <w:rFonts w:eastAsia="等线"/>
                <w:color w:val="000000"/>
                <w:sz w:val="20"/>
                <w:szCs w:val="18"/>
              </w:rPr>
            </w:pPr>
            <w:r>
              <w:rPr>
                <w:rFonts w:hint="eastAsia" w:eastAsia="等线"/>
                <w:color w:val="000000"/>
                <w:sz w:val="20"/>
                <w:szCs w:val="18"/>
              </w:rPr>
              <w:t>101.2</w:t>
            </w:r>
          </w:p>
        </w:tc>
      </w:tr>
      <w:tr w14:paraId="1ED9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7" w:type="dxa"/>
            <w:vAlign w:val="center"/>
          </w:tcPr>
          <w:p w14:paraId="37FB5AF8">
            <w:pPr>
              <w:jc w:val="center"/>
              <w:rPr>
                <w:kern w:val="0"/>
                <w:sz w:val="20"/>
              </w:rPr>
            </w:pPr>
            <w:r>
              <w:rPr>
                <w:kern w:val="0"/>
                <w:sz w:val="20"/>
              </w:rPr>
              <w:t>修正</w:t>
            </w:r>
          </w:p>
          <w:p w14:paraId="04A2E3C8">
            <w:pPr>
              <w:jc w:val="center"/>
              <w:rPr>
                <w:rFonts w:eastAsia="Times New Roman"/>
                <w:kern w:val="0"/>
                <w:sz w:val="20"/>
              </w:rPr>
            </w:pPr>
            <w:r>
              <w:rPr>
                <w:kern w:val="0"/>
                <w:sz w:val="20"/>
              </w:rPr>
              <w:t>系数</w:t>
            </w:r>
          </w:p>
        </w:tc>
        <w:tc>
          <w:tcPr>
            <w:tcW w:w="992" w:type="dxa"/>
            <w:vAlign w:val="center"/>
          </w:tcPr>
          <w:p w14:paraId="4E51E02B">
            <w:pPr>
              <w:jc w:val="center"/>
              <w:rPr>
                <w:rFonts w:eastAsia="等线"/>
                <w:color w:val="000000"/>
                <w:sz w:val="20"/>
                <w:szCs w:val="18"/>
              </w:rPr>
            </w:pPr>
            <w:r>
              <w:rPr>
                <w:sz w:val="20"/>
              </w:rPr>
              <w:t>1.051</w:t>
            </w:r>
          </w:p>
        </w:tc>
        <w:tc>
          <w:tcPr>
            <w:tcW w:w="671" w:type="dxa"/>
            <w:vAlign w:val="center"/>
          </w:tcPr>
          <w:p w14:paraId="0DAB1F47">
            <w:pPr>
              <w:jc w:val="center"/>
              <w:rPr>
                <w:rFonts w:eastAsia="等线"/>
                <w:color w:val="000000"/>
                <w:sz w:val="20"/>
                <w:szCs w:val="18"/>
              </w:rPr>
            </w:pPr>
            <w:r>
              <w:rPr>
                <w:sz w:val="20"/>
              </w:rPr>
              <w:t>1.014</w:t>
            </w:r>
          </w:p>
        </w:tc>
        <w:tc>
          <w:tcPr>
            <w:tcW w:w="671" w:type="dxa"/>
            <w:vAlign w:val="center"/>
          </w:tcPr>
          <w:p w14:paraId="5E10AF64">
            <w:pPr>
              <w:jc w:val="center"/>
              <w:rPr>
                <w:rFonts w:eastAsia="等线"/>
                <w:color w:val="000000"/>
                <w:sz w:val="20"/>
                <w:szCs w:val="18"/>
              </w:rPr>
            </w:pPr>
            <w:r>
              <w:rPr>
                <w:sz w:val="20"/>
              </w:rPr>
              <w:t>0.998</w:t>
            </w:r>
          </w:p>
        </w:tc>
        <w:tc>
          <w:tcPr>
            <w:tcW w:w="671" w:type="dxa"/>
            <w:vAlign w:val="center"/>
          </w:tcPr>
          <w:p w14:paraId="052C0A01">
            <w:pPr>
              <w:jc w:val="center"/>
              <w:rPr>
                <w:rFonts w:eastAsia="等线"/>
                <w:color w:val="000000"/>
                <w:sz w:val="20"/>
                <w:szCs w:val="18"/>
              </w:rPr>
            </w:pPr>
            <w:r>
              <w:rPr>
                <w:sz w:val="20"/>
              </w:rPr>
              <w:t>0.970</w:t>
            </w:r>
          </w:p>
        </w:tc>
        <w:tc>
          <w:tcPr>
            <w:tcW w:w="672" w:type="dxa"/>
            <w:vAlign w:val="center"/>
          </w:tcPr>
          <w:p w14:paraId="34B064E3">
            <w:pPr>
              <w:jc w:val="center"/>
              <w:rPr>
                <w:rFonts w:eastAsia="等线"/>
                <w:color w:val="000000"/>
                <w:sz w:val="20"/>
                <w:szCs w:val="18"/>
              </w:rPr>
            </w:pPr>
            <w:r>
              <w:rPr>
                <w:sz w:val="20"/>
              </w:rPr>
              <w:t>1.009</w:t>
            </w:r>
          </w:p>
        </w:tc>
        <w:tc>
          <w:tcPr>
            <w:tcW w:w="671" w:type="dxa"/>
            <w:vAlign w:val="center"/>
          </w:tcPr>
          <w:p w14:paraId="182FD6BC">
            <w:pPr>
              <w:jc w:val="center"/>
              <w:rPr>
                <w:rFonts w:eastAsia="等线"/>
                <w:color w:val="000000"/>
                <w:sz w:val="20"/>
                <w:szCs w:val="18"/>
              </w:rPr>
            </w:pPr>
            <w:r>
              <w:rPr>
                <w:sz w:val="20"/>
              </w:rPr>
              <w:t>0.994</w:t>
            </w:r>
          </w:p>
        </w:tc>
        <w:tc>
          <w:tcPr>
            <w:tcW w:w="671" w:type="dxa"/>
            <w:vAlign w:val="center"/>
          </w:tcPr>
          <w:p w14:paraId="378974E0">
            <w:pPr>
              <w:jc w:val="center"/>
              <w:rPr>
                <w:rFonts w:eastAsia="等线"/>
                <w:color w:val="000000"/>
                <w:sz w:val="20"/>
                <w:szCs w:val="18"/>
              </w:rPr>
            </w:pPr>
            <w:r>
              <w:rPr>
                <w:sz w:val="20"/>
              </w:rPr>
              <w:t>0.981</w:t>
            </w:r>
          </w:p>
        </w:tc>
        <w:tc>
          <w:tcPr>
            <w:tcW w:w="672" w:type="dxa"/>
            <w:vAlign w:val="center"/>
          </w:tcPr>
          <w:p w14:paraId="40D7A609">
            <w:pPr>
              <w:jc w:val="center"/>
              <w:rPr>
                <w:rFonts w:eastAsia="等线"/>
                <w:color w:val="000000"/>
                <w:sz w:val="20"/>
                <w:szCs w:val="18"/>
              </w:rPr>
            </w:pPr>
            <w:r>
              <w:rPr>
                <w:sz w:val="20"/>
              </w:rPr>
              <w:t>1.021</w:t>
            </w:r>
          </w:p>
        </w:tc>
        <w:tc>
          <w:tcPr>
            <w:tcW w:w="671" w:type="dxa"/>
            <w:vAlign w:val="center"/>
          </w:tcPr>
          <w:p w14:paraId="408720A0">
            <w:pPr>
              <w:jc w:val="center"/>
              <w:rPr>
                <w:rFonts w:eastAsia="等线"/>
                <w:color w:val="000000"/>
                <w:sz w:val="20"/>
                <w:szCs w:val="18"/>
              </w:rPr>
            </w:pPr>
            <w:r>
              <w:rPr>
                <w:sz w:val="20"/>
              </w:rPr>
              <w:t>1.010</w:t>
            </w:r>
          </w:p>
        </w:tc>
        <w:tc>
          <w:tcPr>
            <w:tcW w:w="671" w:type="dxa"/>
            <w:vAlign w:val="center"/>
          </w:tcPr>
          <w:p w14:paraId="42BB77BA">
            <w:pPr>
              <w:jc w:val="center"/>
              <w:rPr>
                <w:rFonts w:eastAsia="等线"/>
                <w:color w:val="000000"/>
                <w:sz w:val="20"/>
                <w:szCs w:val="18"/>
              </w:rPr>
            </w:pPr>
            <w:r>
              <w:rPr>
                <w:sz w:val="20"/>
              </w:rPr>
              <w:t>0.981</w:t>
            </w:r>
          </w:p>
        </w:tc>
        <w:tc>
          <w:tcPr>
            <w:tcW w:w="672" w:type="dxa"/>
            <w:vAlign w:val="center"/>
          </w:tcPr>
          <w:p w14:paraId="687EF3DC">
            <w:pPr>
              <w:jc w:val="center"/>
              <w:rPr>
                <w:rFonts w:eastAsia="等线"/>
                <w:color w:val="000000"/>
                <w:sz w:val="20"/>
                <w:szCs w:val="18"/>
              </w:rPr>
            </w:pPr>
            <w:r>
              <w:rPr>
                <w:sz w:val="20"/>
              </w:rPr>
              <w:t>1</w:t>
            </w:r>
          </w:p>
        </w:tc>
      </w:tr>
    </w:tbl>
    <w:p w14:paraId="0C468C56">
      <w:pPr>
        <w:rPr>
          <w:rFonts w:ascii="黑体" w:hAnsi="黑体" w:eastAsia="黑体"/>
          <w:b/>
          <w:bCs/>
          <w:kern w:val="44"/>
          <w:sz w:val="44"/>
          <w:szCs w:val="44"/>
        </w:rPr>
      </w:pPr>
    </w:p>
    <w:p w14:paraId="440178B1">
      <w:pPr>
        <w:rPr>
          <w:rFonts w:ascii="黑体" w:hAnsi="黑体" w:eastAsia="黑体"/>
          <w:b/>
          <w:bCs/>
          <w:kern w:val="44"/>
          <w:sz w:val="44"/>
          <w:szCs w:val="44"/>
        </w:rPr>
      </w:pPr>
      <w:r>
        <w:rPr>
          <w:rFonts w:ascii="黑体" w:hAnsi="黑体" w:eastAsia="黑体"/>
          <w:b/>
          <w:bCs/>
          <w:kern w:val="44"/>
          <w:sz w:val="44"/>
          <w:szCs w:val="44"/>
        </w:rPr>
        <w:br w:type="page"/>
      </w:r>
    </w:p>
    <w:p w14:paraId="5B01E1D1">
      <w:pPr>
        <w:pStyle w:val="2"/>
        <w:keepNext w:val="0"/>
        <w:keepLines w:val="0"/>
        <w:pageBreakBefore/>
        <w:widowControl w:val="0"/>
        <w:tabs>
          <w:tab w:val="left" w:pos="1440"/>
        </w:tabs>
        <w:spacing w:line="360" w:lineRule="auto"/>
        <w:ind w:left="578" w:hanging="578" w:hangingChars="192"/>
        <w:jc w:val="center"/>
        <w:rPr>
          <w:rFonts w:ascii="黑体" w:hAnsi="黑体" w:eastAsia="黑体"/>
          <w:sz w:val="30"/>
          <w:szCs w:val="30"/>
        </w:rPr>
      </w:pPr>
      <w:bookmarkStart w:id="256" w:name="_Toc534833385"/>
      <w:bookmarkStart w:id="257" w:name="_Toc47384657"/>
      <w:r>
        <w:rPr>
          <w:rFonts w:hint="eastAsia" w:ascii="黑体" w:hAnsi="黑体" w:eastAsia="黑体"/>
          <w:sz w:val="30"/>
          <w:szCs w:val="30"/>
        </w:rPr>
        <w:t xml:space="preserve">第六章 </w:t>
      </w:r>
      <w:r>
        <w:rPr>
          <w:rFonts w:ascii="黑体" w:hAnsi="黑体" w:eastAsia="黑体"/>
          <w:sz w:val="30"/>
          <w:szCs w:val="30"/>
        </w:rPr>
        <w:t>国有农用地</w:t>
      </w:r>
      <w:r>
        <w:rPr>
          <w:rFonts w:hint="eastAsia" w:ascii="黑体" w:hAnsi="黑体" w:eastAsia="黑体"/>
          <w:sz w:val="30"/>
          <w:szCs w:val="30"/>
        </w:rPr>
        <w:t>基准地价成果应用</w:t>
      </w:r>
      <w:bookmarkEnd w:id="256"/>
      <w:bookmarkEnd w:id="257"/>
    </w:p>
    <w:p w14:paraId="4B0D3536">
      <w:pPr>
        <w:spacing w:line="500" w:lineRule="exact"/>
        <w:ind w:firstLine="480" w:firstLineChars="200"/>
        <w:rPr>
          <w:sz w:val="24"/>
        </w:rPr>
      </w:pPr>
      <w:r>
        <w:rPr>
          <w:rFonts w:hint="eastAsia"/>
          <w:sz w:val="24"/>
        </w:rPr>
        <w:t>国有农用地定级估价成果反映了土地的自然质量和经济质量，是土地质量的综合表现。鄂州市国有农用地定级是根据国有农用地的自然属性和经济属性，科学量化区域</w:t>
      </w:r>
      <w:r>
        <w:rPr>
          <w:rFonts w:ascii="宋体" w:hAnsi="宋体"/>
          <w:sz w:val="24"/>
        </w:rPr>
        <w:t>耕地</w:t>
      </w:r>
      <w:r>
        <w:rPr>
          <w:rFonts w:hint="eastAsia"/>
          <w:sz w:val="24"/>
        </w:rPr>
        <w:t>质量及分布，其成果为鄂州市土地整理、复垦、耕地占补平衡、基本农田保护、国有农用地估价及其他有关土地管理工作提供依据。估价成果为国有农用地内部流转、宗地评估、征地制度改革提供了科学的参考依据。</w:t>
      </w:r>
    </w:p>
    <w:p w14:paraId="2EC43BD4">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258" w:name="_Toc47384658"/>
      <w:r>
        <w:rPr>
          <w:rFonts w:hint="eastAsia" w:ascii="宋体" w:hAnsi="宋体"/>
          <w:bCs/>
          <w:kern w:val="2"/>
          <w:szCs w:val="28"/>
        </w:rPr>
        <w:t>6</w:t>
      </w:r>
      <w:r>
        <w:rPr>
          <w:rFonts w:ascii="宋体" w:hAnsi="宋体"/>
          <w:bCs/>
          <w:kern w:val="2"/>
          <w:szCs w:val="28"/>
        </w:rPr>
        <w:t xml:space="preserve">.1 </w:t>
      </w:r>
      <w:r>
        <w:rPr>
          <w:rFonts w:hint="eastAsia" w:ascii="宋体" w:hAnsi="宋体"/>
          <w:bCs/>
          <w:kern w:val="2"/>
          <w:szCs w:val="28"/>
        </w:rPr>
        <w:t>成果内容</w:t>
      </w:r>
      <w:bookmarkEnd w:id="258"/>
    </w:p>
    <w:p w14:paraId="0780995C">
      <w:pPr>
        <w:spacing w:line="500" w:lineRule="exact"/>
        <w:ind w:firstLine="283" w:firstLineChars="118"/>
        <w:rPr>
          <w:sz w:val="24"/>
        </w:rPr>
      </w:pPr>
      <w:r>
        <w:rPr>
          <w:sz w:val="24"/>
        </w:rPr>
        <w:t>（1）《鄂州市</w:t>
      </w:r>
      <w:r>
        <w:rPr>
          <w:rFonts w:hint="eastAsia"/>
          <w:sz w:val="24"/>
        </w:rPr>
        <w:t>国有农用地</w:t>
      </w:r>
      <w:r>
        <w:rPr>
          <w:sz w:val="24"/>
        </w:rPr>
        <w:t>级别与基准地价</w:t>
      </w:r>
      <w:r>
        <w:rPr>
          <w:rFonts w:hint="eastAsia"/>
          <w:sz w:val="24"/>
        </w:rPr>
        <w:t>评估技术</w:t>
      </w:r>
      <w:r>
        <w:rPr>
          <w:sz w:val="24"/>
        </w:rPr>
        <w:t>报告》</w:t>
      </w:r>
    </w:p>
    <w:p w14:paraId="0F308DA5">
      <w:pPr>
        <w:spacing w:line="500" w:lineRule="exact"/>
        <w:ind w:firstLine="480" w:firstLineChars="200"/>
        <w:rPr>
          <w:sz w:val="24"/>
        </w:rPr>
      </w:pPr>
      <w:r>
        <w:rPr>
          <w:sz w:val="24"/>
        </w:rPr>
        <w:t>该报告是对鄂州</w:t>
      </w:r>
      <w:r>
        <w:rPr>
          <w:rFonts w:hint="eastAsia"/>
          <w:sz w:val="24"/>
        </w:rPr>
        <w:t>国有农用地</w:t>
      </w:r>
      <w:r>
        <w:rPr>
          <w:sz w:val="24"/>
        </w:rPr>
        <w:t>土地级别与基准地价评估工作的全面总结，共分</w:t>
      </w:r>
      <w:r>
        <w:rPr>
          <w:rFonts w:hint="eastAsia"/>
          <w:sz w:val="24"/>
        </w:rPr>
        <w:t>为评估概况、</w:t>
      </w:r>
      <w:r>
        <w:rPr>
          <w:sz w:val="24"/>
        </w:rPr>
        <w:t>土地定级、基准地价</w:t>
      </w:r>
      <w:r>
        <w:rPr>
          <w:rFonts w:hint="eastAsia"/>
          <w:sz w:val="24"/>
        </w:rPr>
        <w:t>评估</w:t>
      </w:r>
      <w:r>
        <w:rPr>
          <w:sz w:val="24"/>
        </w:rPr>
        <w:t>、基准地价修正体系的编制、成果应用说明</w:t>
      </w:r>
      <w:r>
        <w:rPr>
          <w:rFonts w:hint="eastAsia"/>
          <w:sz w:val="24"/>
        </w:rPr>
        <w:t>以及</w:t>
      </w:r>
      <w:r>
        <w:rPr>
          <w:sz w:val="24"/>
        </w:rPr>
        <w:t>有关表格、图件及相关文件等附件。</w:t>
      </w:r>
    </w:p>
    <w:p w14:paraId="39007BB0">
      <w:pPr>
        <w:spacing w:line="500" w:lineRule="exact"/>
        <w:ind w:firstLine="283" w:firstLineChars="118"/>
        <w:rPr>
          <w:sz w:val="24"/>
        </w:rPr>
      </w:pPr>
      <w:r>
        <w:rPr>
          <w:sz w:val="24"/>
        </w:rPr>
        <w:t>（2）鄂州市</w:t>
      </w:r>
      <w:r>
        <w:rPr>
          <w:rFonts w:hint="eastAsia"/>
          <w:sz w:val="24"/>
        </w:rPr>
        <w:t>国有农用地</w:t>
      </w:r>
      <w:r>
        <w:rPr>
          <w:sz w:val="24"/>
        </w:rPr>
        <w:t>基准地价</w:t>
      </w:r>
      <w:r>
        <w:rPr>
          <w:rFonts w:hint="eastAsia"/>
          <w:sz w:val="24"/>
        </w:rPr>
        <w:t>评估</w:t>
      </w:r>
      <w:r>
        <w:rPr>
          <w:sz w:val="24"/>
        </w:rPr>
        <w:t>主要图件</w:t>
      </w:r>
    </w:p>
    <w:p w14:paraId="4CE3D145">
      <w:pPr>
        <w:spacing w:line="500" w:lineRule="exact"/>
        <w:ind w:firstLine="566" w:firstLineChars="236"/>
        <w:rPr>
          <w:sz w:val="24"/>
        </w:rPr>
      </w:pPr>
      <w:r>
        <w:rPr>
          <w:rFonts w:hint="eastAsia"/>
          <w:sz w:val="24"/>
        </w:rPr>
        <w:t>1</w:t>
      </w:r>
      <w:r>
        <w:rPr>
          <w:sz w:val="24"/>
        </w:rPr>
        <w:t>）</w:t>
      </w:r>
      <w:r>
        <w:rPr>
          <w:rFonts w:hint="eastAsia"/>
          <w:sz w:val="24"/>
        </w:rPr>
        <w:t>国有农用地</w:t>
      </w:r>
      <w:r>
        <w:rPr>
          <w:sz w:val="24"/>
        </w:rPr>
        <w:t>级别与基准地价图</w:t>
      </w:r>
      <w:r>
        <w:rPr>
          <w:rFonts w:hint="eastAsia"/>
          <w:sz w:val="24"/>
        </w:rPr>
        <w:t>；</w:t>
      </w:r>
    </w:p>
    <w:p w14:paraId="7B65EDB3">
      <w:pPr>
        <w:spacing w:line="500" w:lineRule="exact"/>
        <w:ind w:firstLine="480" w:firstLineChars="200"/>
        <w:rPr>
          <w:sz w:val="24"/>
        </w:rPr>
      </w:pPr>
      <w:r>
        <w:rPr>
          <w:rFonts w:hint="eastAsia"/>
          <w:sz w:val="24"/>
        </w:rPr>
        <w:t xml:space="preserve"> 2）鄂州市国有农用地流转样点分布图；</w:t>
      </w:r>
    </w:p>
    <w:p w14:paraId="770CDB34">
      <w:pPr>
        <w:spacing w:line="500" w:lineRule="exact"/>
        <w:ind w:firstLine="283" w:firstLineChars="118"/>
        <w:rPr>
          <w:sz w:val="24"/>
        </w:rPr>
      </w:pPr>
      <w:r>
        <w:rPr>
          <w:sz w:val="24"/>
        </w:rPr>
        <w:t>（3）鄂州市</w:t>
      </w:r>
      <w:r>
        <w:rPr>
          <w:rFonts w:hint="eastAsia"/>
          <w:sz w:val="24"/>
        </w:rPr>
        <w:t>国有农用地</w:t>
      </w:r>
      <w:r>
        <w:rPr>
          <w:sz w:val="24"/>
        </w:rPr>
        <w:t>级别和基准地价</w:t>
      </w:r>
      <w:r>
        <w:rPr>
          <w:rFonts w:hint="eastAsia"/>
          <w:sz w:val="24"/>
        </w:rPr>
        <w:t>评估</w:t>
      </w:r>
      <w:r>
        <w:rPr>
          <w:sz w:val="24"/>
        </w:rPr>
        <w:t>成果表格</w:t>
      </w:r>
    </w:p>
    <w:p w14:paraId="0E41FEA9">
      <w:pPr>
        <w:spacing w:line="500" w:lineRule="exact"/>
        <w:ind w:firstLine="566" w:firstLineChars="236"/>
        <w:rPr>
          <w:sz w:val="24"/>
        </w:rPr>
      </w:pPr>
      <w:r>
        <w:rPr>
          <w:rFonts w:hint="eastAsia"/>
          <w:sz w:val="24"/>
        </w:rPr>
        <w:t>1</w:t>
      </w:r>
      <w:r>
        <w:rPr>
          <w:sz w:val="24"/>
        </w:rPr>
        <w:t>）</w:t>
      </w:r>
      <w:r>
        <w:rPr>
          <w:rFonts w:hint="eastAsia"/>
          <w:sz w:val="24"/>
        </w:rPr>
        <w:t>国有农用地</w:t>
      </w:r>
      <w:r>
        <w:rPr>
          <w:sz w:val="24"/>
        </w:rPr>
        <w:t>基准地价表</w:t>
      </w:r>
      <w:r>
        <w:rPr>
          <w:rFonts w:hint="eastAsia"/>
          <w:sz w:val="24"/>
        </w:rPr>
        <w:t>；</w:t>
      </w:r>
    </w:p>
    <w:p w14:paraId="5963BDE6">
      <w:pPr>
        <w:spacing w:line="500" w:lineRule="exact"/>
        <w:ind w:firstLine="566" w:firstLineChars="236"/>
        <w:rPr>
          <w:sz w:val="24"/>
        </w:rPr>
      </w:pPr>
      <w:r>
        <w:rPr>
          <w:rFonts w:hint="eastAsia"/>
          <w:sz w:val="24"/>
        </w:rPr>
        <w:t>2</w:t>
      </w:r>
      <w:r>
        <w:rPr>
          <w:sz w:val="24"/>
        </w:rPr>
        <w:t>）</w:t>
      </w:r>
      <w:r>
        <w:rPr>
          <w:rFonts w:hint="eastAsia"/>
          <w:sz w:val="24"/>
        </w:rPr>
        <w:t>国有农用地价格影响因素</w:t>
      </w:r>
      <w:r>
        <w:rPr>
          <w:sz w:val="24"/>
        </w:rPr>
        <w:t>表</w:t>
      </w:r>
      <w:r>
        <w:rPr>
          <w:rFonts w:hint="eastAsia"/>
          <w:sz w:val="24"/>
        </w:rPr>
        <w:t>；</w:t>
      </w:r>
    </w:p>
    <w:p w14:paraId="47D76782">
      <w:pPr>
        <w:spacing w:line="500" w:lineRule="exact"/>
        <w:ind w:firstLine="566" w:firstLineChars="236"/>
        <w:rPr>
          <w:sz w:val="24"/>
        </w:rPr>
      </w:pPr>
      <w:r>
        <w:rPr>
          <w:rFonts w:hint="eastAsia"/>
          <w:sz w:val="24"/>
        </w:rPr>
        <w:t>3</w:t>
      </w:r>
      <w:r>
        <w:rPr>
          <w:sz w:val="24"/>
        </w:rPr>
        <w:t>）</w:t>
      </w:r>
      <w:r>
        <w:rPr>
          <w:rFonts w:hint="eastAsia"/>
          <w:sz w:val="24"/>
        </w:rPr>
        <w:t>国有农用地</w:t>
      </w:r>
      <w:r>
        <w:rPr>
          <w:sz w:val="24"/>
        </w:rPr>
        <w:t>投入</w:t>
      </w:r>
      <w:r>
        <w:rPr>
          <w:rFonts w:hint="eastAsia"/>
          <w:sz w:val="24"/>
        </w:rPr>
        <w:t>-产出</w:t>
      </w:r>
      <w:r>
        <w:rPr>
          <w:sz w:val="24"/>
        </w:rPr>
        <w:t>效益表</w:t>
      </w:r>
      <w:r>
        <w:rPr>
          <w:rFonts w:hint="eastAsia"/>
          <w:sz w:val="24"/>
        </w:rPr>
        <w:t>。</w:t>
      </w:r>
    </w:p>
    <w:p w14:paraId="67097C87">
      <w:pPr>
        <w:pStyle w:val="3"/>
        <w:keepNext/>
        <w:keepLines/>
        <w:widowControl w:val="0"/>
        <w:tabs>
          <w:tab w:val="left" w:pos="720"/>
        </w:tabs>
        <w:autoSpaceDE/>
        <w:autoSpaceDN/>
        <w:adjustRightInd/>
        <w:spacing w:before="120" w:after="120"/>
        <w:ind w:left="720" w:hanging="720"/>
        <w:jc w:val="both"/>
        <w:textAlignment w:val="auto"/>
        <w:rPr>
          <w:rFonts w:ascii="宋体" w:hAnsi="宋体"/>
          <w:bCs/>
          <w:kern w:val="2"/>
          <w:szCs w:val="28"/>
        </w:rPr>
      </w:pPr>
      <w:bookmarkStart w:id="259" w:name="_Toc47384659"/>
      <w:r>
        <w:rPr>
          <w:rFonts w:hint="eastAsia" w:ascii="宋体" w:hAnsi="宋体"/>
          <w:bCs/>
          <w:kern w:val="2"/>
          <w:szCs w:val="28"/>
        </w:rPr>
        <w:t>6</w:t>
      </w:r>
      <w:r>
        <w:rPr>
          <w:rFonts w:ascii="宋体" w:hAnsi="宋体"/>
          <w:bCs/>
          <w:kern w:val="2"/>
          <w:szCs w:val="28"/>
        </w:rPr>
        <w:t xml:space="preserve">.2 </w:t>
      </w:r>
      <w:r>
        <w:rPr>
          <w:rFonts w:hint="eastAsia" w:ascii="宋体" w:hAnsi="宋体"/>
          <w:bCs/>
          <w:kern w:val="2"/>
          <w:szCs w:val="28"/>
        </w:rPr>
        <w:t>成果应用</w:t>
      </w:r>
      <w:bookmarkEnd w:id="259"/>
    </w:p>
    <w:p w14:paraId="4A1D77F4">
      <w:pPr>
        <w:spacing w:line="500" w:lineRule="exact"/>
        <w:ind w:firstLine="480" w:firstLineChars="200"/>
        <w:rPr>
          <w:rFonts w:ascii="宋体" w:hAnsi="宋体"/>
          <w:sz w:val="24"/>
        </w:rPr>
      </w:pPr>
      <w:r>
        <w:rPr>
          <w:rFonts w:hint="eastAsia" w:ascii="宋体" w:hAnsi="宋体"/>
          <w:sz w:val="24"/>
        </w:rPr>
        <w:t>鄂州市国有农用地定级与基准地价是根据国有农用地的自然属性和经济属性，科学量化区域内国有农用地等级与价格，其成果为显化鄂州市国有农用地资产价值、规范国有农用地有偿使用、土地使用权流转等土地管理工作提供依据。</w:t>
      </w:r>
    </w:p>
    <w:p w14:paraId="27C5CB53">
      <w:pPr>
        <w:pStyle w:val="4"/>
        <w:widowControl w:val="0"/>
        <w:tabs>
          <w:tab w:val="left" w:pos="720"/>
        </w:tabs>
        <w:spacing w:before="120" w:after="120" w:line="500" w:lineRule="exact"/>
        <w:ind w:left="826" w:hanging="826"/>
        <w:jc w:val="both"/>
        <w:rPr>
          <w:rFonts w:ascii="宋体" w:hAnsi="宋体"/>
          <w:sz w:val="24"/>
          <w:szCs w:val="24"/>
        </w:rPr>
      </w:pPr>
      <w:bookmarkStart w:id="260" w:name="_Toc535399971"/>
      <w:bookmarkStart w:id="261" w:name="_Toc47384660"/>
      <w:r>
        <w:rPr>
          <w:rFonts w:hint="eastAsia" w:ascii="宋体" w:hAnsi="宋体"/>
          <w:sz w:val="24"/>
          <w:szCs w:val="24"/>
        </w:rPr>
        <w:t>6</w:t>
      </w:r>
      <w:r>
        <w:rPr>
          <w:rFonts w:ascii="宋体" w:hAnsi="宋体"/>
          <w:sz w:val="24"/>
          <w:szCs w:val="24"/>
        </w:rPr>
        <w:t xml:space="preserve">.2.1 </w:t>
      </w:r>
      <w:r>
        <w:rPr>
          <w:rFonts w:hint="eastAsia" w:ascii="宋体" w:hAnsi="宋体"/>
          <w:sz w:val="24"/>
          <w:szCs w:val="24"/>
        </w:rPr>
        <w:t>为显化资产，</w:t>
      </w:r>
      <w:bookmarkEnd w:id="260"/>
      <w:r>
        <w:rPr>
          <w:rFonts w:hint="eastAsia" w:ascii="宋体" w:hAnsi="宋体"/>
          <w:sz w:val="24"/>
          <w:szCs w:val="24"/>
        </w:rPr>
        <w:t>加强国有农用地管理提供依据</w:t>
      </w:r>
      <w:bookmarkEnd w:id="261"/>
    </w:p>
    <w:p w14:paraId="699D0010">
      <w:pPr>
        <w:spacing w:line="500" w:lineRule="exact"/>
        <w:ind w:firstLine="480" w:firstLineChars="200"/>
        <w:rPr>
          <w:rFonts w:ascii="宋体" w:hAnsi="宋体"/>
          <w:sz w:val="24"/>
        </w:rPr>
      </w:pPr>
      <w:bookmarkStart w:id="262" w:name="_Toc535399972"/>
      <w:r>
        <w:rPr>
          <w:rFonts w:hint="eastAsia" w:ascii="宋体" w:hAnsi="宋体"/>
          <w:sz w:val="24"/>
        </w:rPr>
        <w:t>要从宏观上实现土地资源的优化配置，就必须充分了解有关国有农用地质量与价格水平等方面的信息。目前</w:t>
      </w:r>
      <w:r>
        <w:rPr>
          <w:rFonts w:ascii="宋体" w:hAnsi="宋体"/>
          <w:sz w:val="24"/>
        </w:rPr>
        <w:t>，国有农用地</w:t>
      </w:r>
      <w:r>
        <w:rPr>
          <w:rFonts w:hint="eastAsia" w:ascii="宋体" w:hAnsi="宋体"/>
          <w:sz w:val="24"/>
        </w:rPr>
        <w:t>的</w:t>
      </w:r>
      <w:r>
        <w:rPr>
          <w:rFonts w:ascii="宋体" w:hAnsi="宋体"/>
          <w:sz w:val="24"/>
        </w:rPr>
        <w:t>土地利用方式主要是计划经济时代由国家划拨</w:t>
      </w:r>
      <w:r>
        <w:rPr>
          <w:rFonts w:hint="eastAsia" w:ascii="宋体" w:hAnsi="宋体"/>
          <w:sz w:val="24"/>
        </w:rPr>
        <w:t>给</w:t>
      </w:r>
      <w:r>
        <w:rPr>
          <w:rFonts w:ascii="宋体" w:hAnsi="宋体"/>
          <w:sz w:val="24"/>
        </w:rPr>
        <w:t>国有农场、林场等国有单位进行土地开垦、生产的土地。</w:t>
      </w:r>
      <w:r>
        <w:rPr>
          <w:rFonts w:hint="eastAsia" w:ascii="宋体" w:hAnsi="宋体"/>
          <w:sz w:val="24"/>
        </w:rPr>
        <w:t>长期以来</w:t>
      </w:r>
      <w:r>
        <w:rPr>
          <w:rFonts w:ascii="宋体" w:hAnsi="宋体"/>
          <w:sz w:val="24"/>
        </w:rPr>
        <w:t>出现了</w:t>
      </w:r>
      <w:r>
        <w:rPr>
          <w:rFonts w:hint="eastAsia" w:ascii="宋体" w:hAnsi="宋体"/>
          <w:sz w:val="24"/>
        </w:rPr>
        <w:t>诸多问题</w:t>
      </w:r>
      <w:r>
        <w:rPr>
          <w:rFonts w:ascii="宋体" w:hAnsi="宋体"/>
          <w:sz w:val="24"/>
        </w:rPr>
        <w:t>如国有农用地私下流转等</w:t>
      </w:r>
      <w:r>
        <w:rPr>
          <w:rFonts w:hint="eastAsia" w:ascii="宋体" w:hAnsi="宋体"/>
          <w:sz w:val="24"/>
        </w:rPr>
        <w:t>，导致了</w:t>
      </w:r>
      <w:r>
        <w:rPr>
          <w:rFonts w:ascii="宋体" w:hAnsi="宋体"/>
          <w:sz w:val="24"/>
        </w:rPr>
        <w:t>国有资产的巨大流失</w:t>
      </w:r>
      <w:r>
        <w:rPr>
          <w:rFonts w:hint="eastAsia" w:ascii="宋体" w:hAnsi="宋体"/>
          <w:sz w:val="24"/>
        </w:rPr>
        <w:t>。国家对国有农用地价格的科学管理是实现土地资源配置的重要手段，也是建立健全农用地土地市场、建立国有农用地价格体系的基础。国有农用地基准地价评估显化了土地资产、资本价值，为</w:t>
      </w:r>
      <w:r>
        <w:rPr>
          <w:rFonts w:ascii="宋体" w:hAnsi="宋体"/>
          <w:sz w:val="24"/>
        </w:rPr>
        <w:t>保障国有资产合理使用，加强鄂州市国有农用</w:t>
      </w:r>
      <w:r>
        <w:rPr>
          <w:rFonts w:hint="eastAsia" w:ascii="宋体" w:hAnsi="宋体"/>
          <w:sz w:val="24"/>
        </w:rPr>
        <w:t>地</w:t>
      </w:r>
      <w:r>
        <w:rPr>
          <w:rFonts w:ascii="宋体" w:hAnsi="宋体"/>
          <w:sz w:val="24"/>
        </w:rPr>
        <w:t>的宏观管理提供</w:t>
      </w:r>
      <w:r>
        <w:rPr>
          <w:rFonts w:hint="eastAsia" w:ascii="宋体" w:hAnsi="宋体"/>
          <w:sz w:val="24"/>
        </w:rPr>
        <w:t>依据</w:t>
      </w:r>
      <w:r>
        <w:rPr>
          <w:rFonts w:ascii="宋体" w:hAnsi="宋体"/>
          <w:sz w:val="24"/>
        </w:rPr>
        <w:t>。</w:t>
      </w:r>
    </w:p>
    <w:p w14:paraId="419014F0">
      <w:pPr>
        <w:pStyle w:val="4"/>
        <w:widowControl w:val="0"/>
        <w:tabs>
          <w:tab w:val="left" w:pos="720"/>
        </w:tabs>
        <w:spacing w:before="120" w:after="120" w:line="500" w:lineRule="exact"/>
        <w:ind w:left="826" w:hanging="826"/>
        <w:jc w:val="both"/>
        <w:rPr>
          <w:rFonts w:ascii="宋体" w:hAnsi="宋体"/>
          <w:sz w:val="24"/>
          <w:szCs w:val="24"/>
        </w:rPr>
      </w:pPr>
      <w:bookmarkStart w:id="263" w:name="_Toc47384661"/>
      <w:r>
        <w:rPr>
          <w:rFonts w:hint="eastAsia" w:ascii="宋体" w:hAnsi="宋体"/>
          <w:sz w:val="24"/>
          <w:szCs w:val="24"/>
        </w:rPr>
        <w:t>6</w:t>
      </w:r>
      <w:r>
        <w:rPr>
          <w:rFonts w:ascii="宋体" w:hAnsi="宋体"/>
          <w:sz w:val="24"/>
          <w:szCs w:val="24"/>
        </w:rPr>
        <w:t xml:space="preserve">.2.2 </w:t>
      </w:r>
      <w:r>
        <w:rPr>
          <w:rFonts w:hint="eastAsia" w:ascii="宋体" w:hAnsi="宋体"/>
          <w:sz w:val="24"/>
          <w:szCs w:val="24"/>
        </w:rPr>
        <w:t>为国有农用地</w:t>
      </w:r>
      <w:r>
        <w:rPr>
          <w:rFonts w:ascii="宋体" w:hAnsi="宋体"/>
          <w:sz w:val="24"/>
          <w:szCs w:val="24"/>
        </w:rPr>
        <w:t>使用权价格评估奠定基础</w:t>
      </w:r>
      <w:bookmarkEnd w:id="262"/>
      <w:bookmarkEnd w:id="263"/>
    </w:p>
    <w:p w14:paraId="6557B104">
      <w:pPr>
        <w:spacing w:line="500" w:lineRule="exact"/>
        <w:ind w:firstLine="480" w:firstLineChars="200"/>
        <w:rPr>
          <w:rFonts w:ascii="宋体" w:hAnsi="宋体"/>
          <w:sz w:val="24"/>
        </w:rPr>
      </w:pPr>
      <w:r>
        <w:rPr>
          <w:rFonts w:ascii="宋体" w:hAnsi="宋体"/>
          <w:sz w:val="24"/>
        </w:rPr>
        <w:t>国有农用地</w:t>
      </w:r>
      <w:r>
        <w:rPr>
          <w:rFonts w:hint="eastAsia" w:ascii="宋体" w:hAnsi="宋体"/>
          <w:sz w:val="24"/>
        </w:rPr>
        <w:t>主要采用</w:t>
      </w:r>
      <w:r>
        <w:rPr>
          <w:rFonts w:ascii="宋体" w:hAnsi="宋体"/>
          <w:sz w:val="24"/>
        </w:rPr>
        <w:t>划拨</w:t>
      </w:r>
      <w:r>
        <w:rPr>
          <w:rFonts w:hint="eastAsia" w:ascii="宋体" w:hAnsi="宋体"/>
          <w:sz w:val="24"/>
        </w:rPr>
        <w:t>方式使用，</w:t>
      </w:r>
      <w:r>
        <w:rPr>
          <w:rFonts w:ascii="宋体" w:hAnsi="宋体"/>
          <w:sz w:val="24"/>
        </w:rPr>
        <w:t>基本属于无偿使用。</w:t>
      </w:r>
      <w:r>
        <w:rPr>
          <w:rFonts w:hint="eastAsia" w:ascii="宋体" w:hAnsi="宋体"/>
          <w:sz w:val="24"/>
        </w:rPr>
        <w:t>随着</w:t>
      </w:r>
      <w:r>
        <w:rPr>
          <w:sz w:val="24"/>
          <w:lang w:val="zh-CN"/>
        </w:rPr>
        <w:t>农垦企业改革改制中，</w:t>
      </w:r>
      <w:r>
        <w:rPr>
          <w:rFonts w:hint="eastAsia"/>
          <w:sz w:val="24"/>
          <w:lang w:val="zh-CN"/>
        </w:rPr>
        <w:t>将会对</w:t>
      </w:r>
      <w:r>
        <w:rPr>
          <w:sz w:val="24"/>
          <w:lang w:val="zh-CN"/>
        </w:rPr>
        <w:t>国有划拨农用地采取土地使用权出让、租赁、作价出资（入股）等方式</w:t>
      </w:r>
      <w:r>
        <w:rPr>
          <w:rFonts w:hint="eastAsia"/>
          <w:sz w:val="24"/>
          <w:lang w:val="zh-CN"/>
        </w:rPr>
        <w:t>进行</w:t>
      </w:r>
      <w:r>
        <w:rPr>
          <w:sz w:val="24"/>
          <w:lang w:val="zh-CN"/>
        </w:rPr>
        <w:t>处置。</w:t>
      </w:r>
      <w:r>
        <w:rPr>
          <w:rFonts w:hint="eastAsia"/>
          <w:sz w:val="24"/>
          <w:lang w:val="zh-CN"/>
        </w:rPr>
        <w:t>国土资源管理部门可以根据国有农用地基准地价评估结果，量化国有农用地价值，制订科学合理的国有农用地使用权有偿使用价格</w:t>
      </w:r>
      <w:r>
        <w:rPr>
          <w:rFonts w:hint="eastAsia" w:ascii="宋体" w:hAnsi="宋体"/>
          <w:sz w:val="24"/>
        </w:rPr>
        <w:t>。</w:t>
      </w:r>
    </w:p>
    <w:p w14:paraId="36A297B9">
      <w:pPr>
        <w:pStyle w:val="4"/>
        <w:widowControl w:val="0"/>
        <w:tabs>
          <w:tab w:val="left" w:pos="720"/>
        </w:tabs>
        <w:spacing w:before="120" w:after="120" w:line="500" w:lineRule="exact"/>
        <w:ind w:left="826" w:hanging="826"/>
        <w:jc w:val="both"/>
        <w:rPr>
          <w:rFonts w:ascii="宋体" w:hAnsi="宋体"/>
          <w:sz w:val="24"/>
          <w:szCs w:val="24"/>
        </w:rPr>
      </w:pPr>
      <w:bookmarkStart w:id="264" w:name="_Toc535399973"/>
      <w:bookmarkStart w:id="265" w:name="_Toc47384662"/>
      <w:r>
        <w:rPr>
          <w:rFonts w:hint="eastAsia" w:ascii="宋体" w:hAnsi="宋体"/>
          <w:sz w:val="24"/>
          <w:szCs w:val="24"/>
        </w:rPr>
        <w:t>6</w:t>
      </w:r>
      <w:r>
        <w:rPr>
          <w:rFonts w:ascii="宋体" w:hAnsi="宋体"/>
          <w:sz w:val="24"/>
          <w:szCs w:val="24"/>
        </w:rPr>
        <w:t xml:space="preserve">.2.3 </w:t>
      </w:r>
      <w:r>
        <w:rPr>
          <w:rFonts w:hint="eastAsia" w:ascii="宋体" w:hAnsi="宋体"/>
          <w:sz w:val="24"/>
          <w:szCs w:val="24"/>
        </w:rPr>
        <w:t>为国有农用地流转价值评估提供参考</w:t>
      </w:r>
      <w:bookmarkEnd w:id="264"/>
      <w:bookmarkEnd w:id="265"/>
    </w:p>
    <w:p w14:paraId="6FEB2D59">
      <w:pPr>
        <w:pStyle w:val="15"/>
        <w:spacing w:line="500" w:lineRule="exact"/>
        <w:ind w:firstLine="480" w:firstLineChars="200"/>
        <w:rPr>
          <w:rFonts w:ascii="宋体" w:hAnsi="宋体" w:eastAsia="宋体"/>
        </w:rPr>
      </w:pPr>
      <w:r>
        <w:rPr>
          <w:rFonts w:hint="eastAsia" w:ascii="宋体" w:hAnsi="宋体" w:eastAsia="宋体" w:cs="Times New Roman"/>
          <w:sz w:val="24"/>
          <w:szCs w:val="24"/>
        </w:rPr>
        <w:t>鄂州市国有农用地</w:t>
      </w:r>
      <w:r>
        <w:rPr>
          <w:rFonts w:ascii="宋体" w:hAnsi="宋体" w:eastAsia="宋体" w:cs="Times New Roman"/>
          <w:sz w:val="24"/>
          <w:szCs w:val="24"/>
        </w:rPr>
        <w:t>基准地价的制定，可以</w:t>
      </w:r>
      <w:r>
        <w:rPr>
          <w:rFonts w:hint="eastAsia" w:ascii="宋体" w:hAnsi="宋体" w:eastAsia="宋体" w:cs="Times New Roman"/>
          <w:sz w:val="24"/>
          <w:szCs w:val="24"/>
        </w:rPr>
        <w:t>为鄂州市国有农用地转让、出租、抵押等流转价值评估提供参考</w:t>
      </w:r>
      <w:r>
        <w:rPr>
          <w:rFonts w:hint="eastAsia" w:ascii="宋体" w:hAnsi="宋体"/>
          <w:sz w:val="24"/>
        </w:rPr>
        <w:t>，</w:t>
      </w:r>
      <w:r>
        <w:rPr>
          <w:rFonts w:hint="eastAsia" w:ascii="宋体" w:hAnsi="宋体" w:eastAsia="宋体"/>
          <w:sz w:val="24"/>
        </w:rPr>
        <w:t>促进农地资源合理利用。伴随着我国新一轮土地改革的进行和农业现代化、农业规模化的发展，国有农用地流转将越来越频繁。在此过程中，国有农用地基准地价评估为国有农用地流转</w:t>
      </w:r>
      <w:r>
        <w:rPr>
          <w:rFonts w:ascii="宋体" w:hAnsi="宋体" w:eastAsia="宋体"/>
          <w:sz w:val="24"/>
        </w:rPr>
        <w:t>中的</w:t>
      </w:r>
      <w:r>
        <w:rPr>
          <w:rFonts w:hint="eastAsia" w:ascii="宋体" w:hAnsi="宋体" w:eastAsia="宋体"/>
          <w:sz w:val="24"/>
        </w:rPr>
        <w:t>价值评估行提供了参考。</w:t>
      </w:r>
    </w:p>
    <w:p w14:paraId="481B77BF">
      <w:pPr>
        <w:pStyle w:val="2"/>
        <w:keepNext w:val="0"/>
        <w:keepLines w:val="0"/>
        <w:pageBreakBefore/>
        <w:widowControl w:val="0"/>
        <w:tabs>
          <w:tab w:val="left" w:pos="1440"/>
        </w:tabs>
        <w:spacing w:line="360" w:lineRule="auto"/>
        <w:ind w:left="576" w:hanging="576" w:hangingChars="192"/>
        <w:rPr>
          <w:rFonts w:ascii="黑体" w:hAnsi="黑体" w:eastAsia="黑体"/>
          <w:b w:val="0"/>
          <w:bCs w:val="0"/>
          <w:sz w:val="30"/>
          <w:szCs w:val="30"/>
        </w:rPr>
      </w:pPr>
      <w:bookmarkStart w:id="266" w:name="_Toc47384663"/>
      <w:r>
        <w:rPr>
          <w:rFonts w:hint="eastAsia" w:ascii="黑体" w:hAnsi="黑体" w:eastAsia="黑体"/>
          <w:b w:val="0"/>
          <w:bCs w:val="0"/>
          <w:sz w:val="30"/>
          <w:szCs w:val="30"/>
        </w:rPr>
        <w:t>附件一：鄂州市国有农用地</w:t>
      </w:r>
      <w:r>
        <w:rPr>
          <w:rFonts w:ascii="黑体" w:hAnsi="黑体" w:eastAsia="黑体"/>
          <w:b w:val="0"/>
          <w:bCs w:val="0"/>
          <w:sz w:val="30"/>
          <w:szCs w:val="30"/>
        </w:rPr>
        <w:t>级别与基准地价图</w:t>
      </w:r>
      <w:bookmarkEnd w:id="266"/>
    </w:p>
    <w:p w14:paraId="336769F0">
      <w:r>
        <w:drawing>
          <wp:inline distT="0" distB="0" distL="0" distR="0">
            <wp:extent cx="5274310" cy="7459345"/>
            <wp:effectExtent l="0" t="0" r="0" b="0"/>
            <wp:docPr id="5" name="图片 5" descr="E:\渠丽萍\科研\项目\项目\2017鄂州基准地价\成果\验收\市政府请示\2020.2\给秦蕾\鄂州市公示地价体系成果（1）7.31 - 成果打印\3鄂州市国有农用地级别与基准地价评估成果报告\图件\国有农用地基准地价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渠丽萍\科研\项目\项目\2017鄂州基准地价\成果\验收\市政府请示\2020.2\给秦蕾\鄂州市公示地价体系成果（1）7.31 - 成果打印\3鄂州市国有农用地级别与基准地价评估成果报告\图件\国有农用地基准地价图.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5274310" cy="7459761"/>
                    </a:xfrm>
                    <a:prstGeom prst="rect">
                      <a:avLst/>
                    </a:prstGeom>
                    <a:noFill/>
                    <a:ln>
                      <a:noFill/>
                    </a:ln>
                  </pic:spPr>
                </pic:pic>
              </a:graphicData>
            </a:graphic>
          </wp:inline>
        </w:drawing>
      </w:r>
    </w:p>
    <w:p w14:paraId="0EEAE2B7">
      <w:r>
        <w:br w:type="page"/>
      </w:r>
    </w:p>
    <w:p w14:paraId="713AA25F"/>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48908">
    <w:pPr>
      <w:pStyle w:val="25"/>
      <w:ind w:firstLine="360"/>
    </w:pPr>
  </w:p>
  <w:p w14:paraId="36E39AA6">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6136942"/>
      <w:docPartObj>
        <w:docPartGallery w:val="autotext"/>
      </w:docPartObj>
    </w:sdtPr>
    <w:sdtContent>
      <w:p w14:paraId="6210AAB8">
        <w:pPr>
          <w:pStyle w:val="25"/>
          <w:ind w:firstLine="360"/>
          <w:jc w:val="center"/>
        </w:pPr>
        <w:r>
          <w:rPr>
            <w:lang w:val="zh-CN"/>
          </w:rPr>
          <w:fldChar w:fldCharType="begin"/>
        </w:r>
        <w:r>
          <w:rPr>
            <w:lang w:val="zh-CN"/>
          </w:rPr>
          <w:instrText xml:space="preserve">PAGE   \* MERGEFORMAT</w:instrText>
        </w:r>
        <w:r>
          <w:rPr>
            <w:lang w:val="zh-CN"/>
          </w:rPr>
          <w:fldChar w:fldCharType="separate"/>
        </w:r>
        <w:r>
          <w:rPr>
            <w:lang w:val="zh-CN"/>
          </w:rPr>
          <w:t>70</w:t>
        </w:r>
        <w:r>
          <w:rPr>
            <w:lang w:val="zh-CN"/>
          </w:rPr>
          <w:fldChar w:fldCharType="end"/>
        </w:r>
      </w:p>
    </w:sdtContent>
  </w:sdt>
  <w:p w14:paraId="407EA02E">
    <w:pPr>
      <w:pStyle w:val="2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37C20">
    <w:pPr>
      <w:pStyle w:val="26"/>
    </w:pPr>
    <w:r>
      <w:rPr>
        <w:rFonts w:hint="eastAsia"/>
      </w:rPr>
      <w:t>鄂州市国有农用地级别与基准地价评估成果报告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suff w:val="space"/>
      <w:lvlText w:val="第%1章"/>
      <w:lvlJc w:val="left"/>
      <w:pPr>
        <w:ind w:left="0" w:firstLine="0"/>
      </w:pPr>
      <w:rPr>
        <w:rFonts w:hint="eastAsia"/>
      </w:rPr>
    </w:lvl>
    <w:lvl w:ilvl="1" w:tentative="0">
      <w:start w:val="1"/>
      <w:numFmt w:val="chineseCountingThousand"/>
      <w:suff w:val="space"/>
      <w:lvlText w:val="第%2节"/>
      <w:lvlJc w:val="left"/>
      <w:pPr>
        <w:ind w:left="3420" w:firstLine="0"/>
      </w:pPr>
      <w:rPr>
        <w:rFonts w:hint="eastAsia"/>
      </w:rPr>
    </w:lvl>
    <w:lvl w:ilvl="2" w:tentative="0">
      <w:start w:val="1"/>
      <w:numFmt w:val="chineseCountingThousand"/>
      <w:suff w:val="nothing"/>
      <w:lvlText w:val="%3、"/>
      <w:lvlJc w:val="left"/>
      <w:pPr>
        <w:ind w:left="5040" w:firstLine="0"/>
      </w:pPr>
      <w:rPr>
        <w:rFonts w:hint="eastAsia"/>
      </w:rPr>
    </w:lvl>
    <w:lvl w:ilvl="3" w:tentative="0">
      <w:start w:val="1"/>
      <w:numFmt w:val="chineseCountingThousand"/>
      <w:suff w:val="nothing"/>
      <w:lvlText w:val="(%4)、"/>
      <w:lvlJc w:val="left"/>
      <w:pPr>
        <w:ind w:left="720" w:firstLine="0"/>
      </w:pPr>
      <w:rPr>
        <w:rFonts w:hint="eastAsia"/>
      </w:rPr>
    </w:lvl>
    <w:lvl w:ilvl="4" w:tentative="0">
      <w:start w:val="1"/>
      <w:numFmt w:val="decimal"/>
      <w:suff w:val="nothing"/>
      <w:lvlText w:val="%5、"/>
      <w:lvlJc w:val="left"/>
      <w:pPr>
        <w:ind w:left="900" w:firstLine="0"/>
      </w:pPr>
      <w:rPr>
        <w:rFonts w:hint="eastAsia"/>
      </w:rPr>
    </w:lvl>
    <w:lvl w:ilvl="5" w:tentative="0">
      <w:start w:val="1"/>
      <w:numFmt w:val="none"/>
      <w:suff w:val="space"/>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space"/>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hM2Q3ZWUzMjE0YTIzZjEwZjg5MTY0YmUwNzM2MmUifQ=="/>
  </w:docVars>
  <w:rsids>
    <w:rsidRoot w:val="00F05B47"/>
    <w:rsid w:val="00006CE6"/>
    <w:rsid w:val="00017D84"/>
    <w:rsid w:val="000203A7"/>
    <w:rsid w:val="000204A0"/>
    <w:rsid w:val="0002552F"/>
    <w:rsid w:val="00046F61"/>
    <w:rsid w:val="000532AC"/>
    <w:rsid w:val="00057A6D"/>
    <w:rsid w:val="00064328"/>
    <w:rsid w:val="00072617"/>
    <w:rsid w:val="000837FB"/>
    <w:rsid w:val="0009522B"/>
    <w:rsid w:val="00097D18"/>
    <w:rsid w:val="000A6468"/>
    <w:rsid w:val="000B097F"/>
    <w:rsid w:val="000C2D1B"/>
    <w:rsid w:val="000C2FFA"/>
    <w:rsid w:val="000C3874"/>
    <w:rsid w:val="000C4C48"/>
    <w:rsid w:val="000C6060"/>
    <w:rsid w:val="000D6E68"/>
    <w:rsid w:val="000E11D1"/>
    <w:rsid w:val="000E312F"/>
    <w:rsid w:val="000E4AEB"/>
    <w:rsid w:val="000E7B6A"/>
    <w:rsid w:val="000F0610"/>
    <w:rsid w:val="000F445F"/>
    <w:rsid w:val="00103CF1"/>
    <w:rsid w:val="00110808"/>
    <w:rsid w:val="0011682D"/>
    <w:rsid w:val="00126099"/>
    <w:rsid w:val="00141D51"/>
    <w:rsid w:val="00151AFE"/>
    <w:rsid w:val="001569F6"/>
    <w:rsid w:val="001643E4"/>
    <w:rsid w:val="00175431"/>
    <w:rsid w:val="00190B68"/>
    <w:rsid w:val="00193017"/>
    <w:rsid w:val="00196A6E"/>
    <w:rsid w:val="001A3512"/>
    <w:rsid w:val="001A7044"/>
    <w:rsid w:val="001B2F53"/>
    <w:rsid w:val="001C4B54"/>
    <w:rsid w:val="001D78BD"/>
    <w:rsid w:val="001E64B1"/>
    <w:rsid w:val="001E7D5D"/>
    <w:rsid w:val="00205739"/>
    <w:rsid w:val="00205D7F"/>
    <w:rsid w:val="00207117"/>
    <w:rsid w:val="002152F1"/>
    <w:rsid w:val="00223CE5"/>
    <w:rsid w:val="00227D44"/>
    <w:rsid w:val="00231F71"/>
    <w:rsid w:val="00232690"/>
    <w:rsid w:val="0023601D"/>
    <w:rsid w:val="002413A8"/>
    <w:rsid w:val="00242754"/>
    <w:rsid w:val="00252781"/>
    <w:rsid w:val="00252D24"/>
    <w:rsid w:val="0026473E"/>
    <w:rsid w:val="0027368E"/>
    <w:rsid w:val="002801A3"/>
    <w:rsid w:val="002871D5"/>
    <w:rsid w:val="002929F5"/>
    <w:rsid w:val="00292DED"/>
    <w:rsid w:val="002A3189"/>
    <w:rsid w:val="002A79AB"/>
    <w:rsid w:val="002B42A4"/>
    <w:rsid w:val="002C57CC"/>
    <w:rsid w:val="002E69EF"/>
    <w:rsid w:val="002F5418"/>
    <w:rsid w:val="002F5DCD"/>
    <w:rsid w:val="002F6275"/>
    <w:rsid w:val="00307230"/>
    <w:rsid w:val="00310B8F"/>
    <w:rsid w:val="00311B1D"/>
    <w:rsid w:val="003131FF"/>
    <w:rsid w:val="003135D3"/>
    <w:rsid w:val="00320A4A"/>
    <w:rsid w:val="003217C1"/>
    <w:rsid w:val="003244E6"/>
    <w:rsid w:val="00331499"/>
    <w:rsid w:val="0033373A"/>
    <w:rsid w:val="00374C82"/>
    <w:rsid w:val="00384A72"/>
    <w:rsid w:val="003854CF"/>
    <w:rsid w:val="00393DD6"/>
    <w:rsid w:val="00396B19"/>
    <w:rsid w:val="003A1C46"/>
    <w:rsid w:val="003A1D3B"/>
    <w:rsid w:val="003A26CA"/>
    <w:rsid w:val="003A2BE8"/>
    <w:rsid w:val="003A6E36"/>
    <w:rsid w:val="003B5CE9"/>
    <w:rsid w:val="003C1605"/>
    <w:rsid w:val="003C5596"/>
    <w:rsid w:val="003C69F1"/>
    <w:rsid w:val="003D332E"/>
    <w:rsid w:val="003D609A"/>
    <w:rsid w:val="003E4408"/>
    <w:rsid w:val="003F1D80"/>
    <w:rsid w:val="003F3B94"/>
    <w:rsid w:val="003F5B35"/>
    <w:rsid w:val="00404EC2"/>
    <w:rsid w:val="00415275"/>
    <w:rsid w:val="00421C35"/>
    <w:rsid w:val="00421E78"/>
    <w:rsid w:val="00422596"/>
    <w:rsid w:val="00427086"/>
    <w:rsid w:val="00430894"/>
    <w:rsid w:val="00434EAF"/>
    <w:rsid w:val="00445A13"/>
    <w:rsid w:val="00447356"/>
    <w:rsid w:val="00460872"/>
    <w:rsid w:val="0047471C"/>
    <w:rsid w:val="00475BF2"/>
    <w:rsid w:val="004864EC"/>
    <w:rsid w:val="00486BDD"/>
    <w:rsid w:val="0049167C"/>
    <w:rsid w:val="00492B74"/>
    <w:rsid w:val="004961F7"/>
    <w:rsid w:val="004A15E8"/>
    <w:rsid w:val="004A2324"/>
    <w:rsid w:val="004A7673"/>
    <w:rsid w:val="004B0252"/>
    <w:rsid w:val="004B058A"/>
    <w:rsid w:val="004B1179"/>
    <w:rsid w:val="004B5FE4"/>
    <w:rsid w:val="004C2C85"/>
    <w:rsid w:val="004C3A43"/>
    <w:rsid w:val="004D023E"/>
    <w:rsid w:val="004D20C9"/>
    <w:rsid w:val="004D23BD"/>
    <w:rsid w:val="004D4F86"/>
    <w:rsid w:val="004E1B36"/>
    <w:rsid w:val="004E56CE"/>
    <w:rsid w:val="004F05E3"/>
    <w:rsid w:val="004F1B33"/>
    <w:rsid w:val="004F46FC"/>
    <w:rsid w:val="004F65BA"/>
    <w:rsid w:val="00501AA5"/>
    <w:rsid w:val="005039FF"/>
    <w:rsid w:val="005050B1"/>
    <w:rsid w:val="005102A5"/>
    <w:rsid w:val="00511950"/>
    <w:rsid w:val="00514AF8"/>
    <w:rsid w:val="00531AC2"/>
    <w:rsid w:val="00540BAC"/>
    <w:rsid w:val="00543BB9"/>
    <w:rsid w:val="00545018"/>
    <w:rsid w:val="00553D1B"/>
    <w:rsid w:val="00561A8C"/>
    <w:rsid w:val="0056251F"/>
    <w:rsid w:val="0057476D"/>
    <w:rsid w:val="00582D45"/>
    <w:rsid w:val="00590F80"/>
    <w:rsid w:val="0059501A"/>
    <w:rsid w:val="00596B21"/>
    <w:rsid w:val="005A4931"/>
    <w:rsid w:val="005B13D0"/>
    <w:rsid w:val="005B2B76"/>
    <w:rsid w:val="005B3394"/>
    <w:rsid w:val="005B3EAB"/>
    <w:rsid w:val="005B6284"/>
    <w:rsid w:val="005C7E56"/>
    <w:rsid w:val="005D216E"/>
    <w:rsid w:val="005D58B0"/>
    <w:rsid w:val="005E0808"/>
    <w:rsid w:val="005F6F9F"/>
    <w:rsid w:val="00612749"/>
    <w:rsid w:val="006224D3"/>
    <w:rsid w:val="00641D36"/>
    <w:rsid w:val="00642084"/>
    <w:rsid w:val="00643504"/>
    <w:rsid w:val="00650122"/>
    <w:rsid w:val="00652380"/>
    <w:rsid w:val="006542F8"/>
    <w:rsid w:val="006644ED"/>
    <w:rsid w:val="006678D8"/>
    <w:rsid w:val="0067450D"/>
    <w:rsid w:val="00677568"/>
    <w:rsid w:val="0069157A"/>
    <w:rsid w:val="00691EAF"/>
    <w:rsid w:val="006A7A69"/>
    <w:rsid w:val="006B1B4A"/>
    <w:rsid w:val="006B56E9"/>
    <w:rsid w:val="006C39C1"/>
    <w:rsid w:val="006C4D34"/>
    <w:rsid w:val="006D4094"/>
    <w:rsid w:val="006E3AAF"/>
    <w:rsid w:val="006F2F90"/>
    <w:rsid w:val="0070001C"/>
    <w:rsid w:val="0070553E"/>
    <w:rsid w:val="007078BD"/>
    <w:rsid w:val="00717458"/>
    <w:rsid w:val="00717E44"/>
    <w:rsid w:val="00727A58"/>
    <w:rsid w:val="00730241"/>
    <w:rsid w:val="007310AD"/>
    <w:rsid w:val="007322A4"/>
    <w:rsid w:val="00733359"/>
    <w:rsid w:val="00747621"/>
    <w:rsid w:val="00750177"/>
    <w:rsid w:val="00750323"/>
    <w:rsid w:val="00754444"/>
    <w:rsid w:val="00755176"/>
    <w:rsid w:val="00761780"/>
    <w:rsid w:val="00766DC5"/>
    <w:rsid w:val="00781AA4"/>
    <w:rsid w:val="00781FCC"/>
    <w:rsid w:val="00786C03"/>
    <w:rsid w:val="00787DF3"/>
    <w:rsid w:val="00795C7F"/>
    <w:rsid w:val="00795EC5"/>
    <w:rsid w:val="007A634D"/>
    <w:rsid w:val="007B17FA"/>
    <w:rsid w:val="007B2C47"/>
    <w:rsid w:val="007C6E9D"/>
    <w:rsid w:val="007C7E16"/>
    <w:rsid w:val="007D6133"/>
    <w:rsid w:val="007D7E4D"/>
    <w:rsid w:val="007F14B1"/>
    <w:rsid w:val="007F7291"/>
    <w:rsid w:val="00802E0E"/>
    <w:rsid w:val="0080398C"/>
    <w:rsid w:val="0080764F"/>
    <w:rsid w:val="0081002D"/>
    <w:rsid w:val="00815B06"/>
    <w:rsid w:val="00826EC1"/>
    <w:rsid w:val="00832C64"/>
    <w:rsid w:val="00836CE9"/>
    <w:rsid w:val="00837F15"/>
    <w:rsid w:val="00840DAC"/>
    <w:rsid w:val="00846DE6"/>
    <w:rsid w:val="008474EE"/>
    <w:rsid w:val="008539A4"/>
    <w:rsid w:val="00854F49"/>
    <w:rsid w:val="00857EFD"/>
    <w:rsid w:val="0086251F"/>
    <w:rsid w:val="008761A7"/>
    <w:rsid w:val="00884325"/>
    <w:rsid w:val="00884919"/>
    <w:rsid w:val="00885A1D"/>
    <w:rsid w:val="008A0F34"/>
    <w:rsid w:val="008A2559"/>
    <w:rsid w:val="008B5D02"/>
    <w:rsid w:val="008C11B7"/>
    <w:rsid w:val="008C640D"/>
    <w:rsid w:val="008D43CA"/>
    <w:rsid w:val="008E02E2"/>
    <w:rsid w:val="008E7653"/>
    <w:rsid w:val="008F0C89"/>
    <w:rsid w:val="008F0C95"/>
    <w:rsid w:val="008F19C6"/>
    <w:rsid w:val="008F2EB3"/>
    <w:rsid w:val="008F607E"/>
    <w:rsid w:val="008F7AD2"/>
    <w:rsid w:val="00906AB4"/>
    <w:rsid w:val="0091047D"/>
    <w:rsid w:val="00920A3C"/>
    <w:rsid w:val="009238B6"/>
    <w:rsid w:val="00936E0B"/>
    <w:rsid w:val="00941B72"/>
    <w:rsid w:val="009627B1"/>
    <w:rsid w:val="009657AC"/>
    <w:rsid w:val="009665DE"/>
    <w:rsid w:val="00974C11"/>
    <w:rsid w:val="00990579"/>
    <w:rsid w:val="00993C35"/>
    <w:rsid w:val="009951E6"/>
    <w:rsid w:val="009C04EF"/>
    <w:rsid w:val="009D108D"/>
    <w:rsid w:val="009D43D6"/>
    <w:rsid w:val="009E02F0"/>
    <w:rsid w:val="009F0A3B"/>
    <w:rsid w:val="009F0BE5"/>
    <w:rsid w:val="009F7FF4"/>
    <w:rsid w:val="00A005A6"/>
    <w:rsid w:val="00A02454"/>
    <w:rsid w:val="00A03375"/>
    <w:rsid w:val="00A071E1"/>
    <w:rsid w:val="00A0799C"/>
    <w:rsid w:val="00A106F2"/>
    <w:rsid w:val="00A21474"/>
    <w:rsid w:val="00A31B5B"/>
    <w:rsid w:val="00A424EA"/>
    <w:rsid w:val="00A4359F"/>
    <w:rsid w:val="00A43940"/>
    <w:rsid w:val="00A4481E"/>
    <w:rsid w:val="00A461DE"/>
    <w:rsid w:val="00A53C49"/>
    <w:rsid w:val="00A6462B"/>
    <w:rsid w:val="00A66E9B"/>
    <w:rsid w:val="00A71CB9"/>
    <w:rsid w:val="00A76334"/>
    <w:rsid w:val="00A801CA"/>
    <w:rsid w:val="00A80E7C"/>
    <w:rsid w:val="00A91DA3"/>
    <w:rsid w:val="00A92ACE"/>
    <w:rsid w:val="00A96468"/>
    <w:rsid w:val="00A96B92"/>
    <w:rsid w:val="00AA220C"/>
    <w:rsid w:val="00AB3AC6"/>
    <w:rsid w:val="00AB50A2"/>
    <w:rsid w:val="00AC053D"/>
    <w:rsid w:val="00AC1204"/>
    <w:rsid w:val="00AC4126"/>
    <w:rsid w:val="00AD6D7F"/>
    <w:rsid w:val="00AF3250"/>
    <w:rsid w:val="00AF7AC9"/>
    <w:rsid w:val="00B01464"/>
    <w:rsid w:val="00B035B0"/>
    <w:rsid w:val="00B11F99"/>
    <w:rsid w:val="00B134B0"/>
    <w:rsid w:val="00B165AB"/>
    <w:rsid w:val="00B24DFC"/>
    <w:rsid w:val="00B315F5"/>
    <w:rsid w:val="00B33855"/>
    <w:rsid w:val="00B34B3D"/>
    <w:rsid w:val="00B60C94"/>
    <w:rsid w:val="00B6204D"/>
    <w:rsid w:val="00B66CDF"/>
    <w:rsid w:val="00B72F80"/>
    <w:rsid w:val="00B74795"/>
    <w:rsid w:val="00B95EF2"/>
    <w:rsid w:val="00B95F13"/>
    <w:rsid w:val="00B96E27"/>
    <w:rsid w:val="00BA33BF"/>
    <w:rsid w:val="00BA514A"/>
    <w:rsid w:val="00BA5DD2"/>
    <w:rsid w:val="00BA71C2"/>
    <w:rsid w:val="00BB53CA"/>
    <w:rsid w:val="00BC2299"/>
    <w:rsid w:val="00BD1069"/>
    <w:rsid w:val="00BF42F1"/>
    <w:rsid w:val="00C024A0"/>
    <w:rsid w:val="00C02F40"/>
    <w:rsid w:val="00C12A3C"/>
    <w:rsid w:val="00C160B9"/>
    <w:rsid w:val="00C2024D"/>
    <w:rsid w:val="00C22D7A"/>
    <w:rsid w:val="00C24D7E"/>
    <w:rsid w:val="00C2500A"/>
    <w:rsid w:val="00C255BD"/>
    <w:rsid w:val="00C33EE8"/>
    <w:rsid w:val="00C450EF"/>
    <w:rsid w:val="00C6513E"/>
    <w:rsid w:val="00C664B2"/>
    <w:rsid w:val="00C83285"/>
    <w:rsid w:val="00C8435C"/>
    <w:rsid w:val="00C843B3"/>
    <w:rsid w:val="00C914D4"/>
    <w:rsid w:val="00CA1773"/>
    <w:rsid w:val="00CA47D0"/>
    <w:rsid w:val="00CB0C28"/>
    <w:rsid w:val="00CB7E9B"/>
    <w:rsid w:val="00CC4BD3"/>
    <w:rsid w:val="00CD329A"/>
    <w:rsid w:val="00CE309D"/>
    <w:rsid w:val="00CE5377"/>
    <w:rsid w:val="00CE77AF"/>
    <w:rsid w:val="00CF7863"/>
    <w:rsid w:val="00D06948"/>
    <w:rsid w:val="00D218A3"/>
    <w:rsid w:val="00D252AE"/>
    <w:rsid w:val="00D31E6C"/>
    <w:rsid w:val="00D3251E"/>
    <w:rsid w:val="00D56BE1"/>
    <w:rsid w:val="00D5757E"/>
    <w:rsid w:val="00D60CDA"/>
    <w:rsid w:val="00D63821"/>
    <w:rsid w:val="00D74A6F"/>
    <w:rsid w:val="00D76C1A"/>
    <w:rsid w:val="00D81658"/>
    <w:rsid w:val="00D818F7"/>
    <w:rsid w:val="00D93118"/>
    <w:rsid w:val="00DA1239"/>
    <w:rsid w:val="00DB0996"/>
    <w:rsid w:val="00DB1EC8"/>
    <w:rsid w:val="00DB5F33"/>
    <w:rsid w:val="00DB77CF"/>
    <w:rsid w:val="00DC5CE2"/>
    <w:rsid w:val="00DE5209"/>
    <w:rsid w:val="00DE77F8"/>
    <w:rsid w:val="00DF25D0"/>
    <w:rsid w:val="00DF6CD6"/>
    <w:rsid w:val="00E06A71"/>
    <w:rsid w:val="00E11B08"/>
    <w:rsid w:val="00E1772D"/>
    <w:rsid w:val="00E32A28"/>
    <w:rsid w:val="00E3664F"/>
    <w:rsid w:val="00E4547F"/>
    <w:rsid w:val="00E50F7B"/>
    <w:rsid w:val="00E52507"/>
    <w:rsid w:val="00E5434A"/>
    <w:rsid w:val="00E57C6D"/>
    <w:rsid w:val="00E620BA"/>
    <w:rsid w:val="00E649D1"/>
    <w:rsid w:val="00E66B5D"/>
    <w:rsid w:val="00E715FB"/>
    <w:rsid w:val="00E743DB"/>
    <w:rsid w:val="00E776DF"/>
    <w:rsid w:val="00E8094E"/>
    <w:rsid w:val="00E87AAC"/>
    <w:rsid w:val="00E96DB3"/>
    <w:rsid w:val="00EA2556"/>
    <w:rsid w:val="00EB5473"/>
    <w:rsid w:val="00EB54C4"/>
    <w:rsid w:val="00EB629D"/>
    <w:rsid w:val="00ED04E8"/>
    <w:rsid w:val="00ED07BC"/>
    <w:rsid w:val="00ED19CD"/>
    <w:rsid w:val="00ED3572"/>
    <w:rsid w:val="00ED75F8"/>
    <w:rsid w:val="00F02069"/>
    <w:rsid w:val="00F03052"/>
    <w:rsid w:val="00F05B47"/>
    <w:rsid w:val="00F10F3F"/>
    <w:rsid w:val="00F15DF6"/>
    <w:rsid w:val="00F20843"/>
    <w:rsid w:val="00F322E4"/>
    <w:rsid w:val="00F358F8"/>
    <w:rsid w:val="00F35E8F"/>
    <w:rsid w:val="00F361DB"/>
    <w:rsid w:val="00F446FB"/>
    <w:rsid w:val="00F54D81"/>
    <w:rsid w:val="00F57D37"/>
    <w:rsid w:val="00F60152"/>
    <w:rsid w:val="00F636F2"/>
    <w:rsid w:val="00F65DC2"/>
    <w:rsid w:val="00F73C35"/>
    <w:rsid w:val="00F7796A"/>
    <w:rsid w:val="00F83DFF"/>
    <w:rsid w:val="00F87D1F"/>
    <w:rsid w:val="00FA1BCF"/>
    <w:rsid w:val="00FA29D6"/>
    <w:rsid w:val="00FB3340"/>
    <w:rsid w:val="00FC29EA"/>
    <w:rsid w:val="00FC517A"/>
    <w:rsid w:val="00FD50DF"/>
    <w:rsid w:val="00FD7743"/>
    <w:rsid w:val="00FF780B"/>
    <w:rsid w:val="01460685"/>
    <w:rsid w:val="103935FC"/>
    <w:rsid w:val="105D70C8"/>
    <w:rsid w:val="19D34702"/>
    <w:rsid w:val="2874016E"/>
    <w:rsid w:val="599D7A3E"/>
    <w:rsid w:val="61353C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0" w:name="Balloon Text"/>
    <w:lsdException w:qFormat="1" w:unhideWhenUsed="0" w:uiPriority="0" w:semiHidden="0" w:name="Table Grid"/>
    <w:lsdException w:unhideWhenUsed="0" w:uiPriority="99"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8" w:lineRule="auto"/>
      <w:outlineLvl w:val="0"/>
    </w:pPr>
    <w:rPr>
      <w:b/>
      <w:bCs/>
      <w:kern w:val="44"/>
      <w:sz w:val="44"/>
      <w:szCs w:val="44"/>
    </w:rPr>
  </w:style>
  <w:style w:type="paragraph" w:styleId="3">
    <w:name w:val="heading 2"/>
    <w:basedOn w:val="2"/>
    <w:next w:val="1"/>
    <w:link w:val="49"/>
    <w:qFormat/>
    <w:uiPriority w:val="0"/>
    <w:pPr>
      <w:keepNext w:val="0"/>
      <w:keepLines w:val="0"/>
      <w:autoSpaceDE w:val="0"/>
      <w:autoSpaceDN w:val="0"/>
      <w:adjustRightInd w:val="0"/>
      <w:spacing w:line="500" w:lineRule="exact"/>
      <w:jc w:val="center"/>
      <w:textAlignment w:val="baseline"/>
      <w:outlineLvl w:val="1"/>
    </w:pPr>
    <w:rPr>
      <w:rFonts w:ascii="黑体" w:hAnsi="黑体"/>
      <w:bCs w:val="0"/>
      <w:kern w:val="0"/>
      <w:sz w:val="28"/>
      <w:szCs w:val="30"/>
    </w:rPr>
  </w:style>
  <w:style w:type="paragraph" w:styleId="4">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52"/>
    <w:qFormat/>
    <w:uiPriority w:val="0"/>
    <w:pPr>
      <w:keepNext/>
      <w:keepLines/>
      <w:autoSpaceDE w:val="0"/>
      <w:autoSpaceDN w:val="0"/>
      <w:adjustRightInd w:val="0"/>
      <w:spacing w:line="360" w:lineRule="auto"/>
      <w:textAlignment w:val="baseline"/>
      <w:outlineLvl w:val="4"/>
    </w:pPr>
    <w:rPr>
      <w:b/>
      <w:kern w:val="0"/>
      <w:szCs w:val="21"/>
    </w:rPr>
  </w:style>
  <w:style w:type="paragraph" w:styleId="7">
    <w:name w:val="heading 6"/>
    <w:basedOn w:val="1"/>
    <w:next w:val="1"/>
    <w:link w:val="53"/>
    <w:qFormat/>
    <w:uiPriority w:val="0"/>
    <w:pPr>
      <w:keepNext/>
      <w:keepLines/>
      <w:autoSpaceDE w:val="0"/>
      <w:autoSpaceDN w:val="0"/>
      <w:adjustRightInd w:val="0"/>
      <w:spacing w:line="360" w:lineRule="auto"/>
      <w:ind w:firstLine="422" w:firstLineChars="200"/>
      <w:textAlignment w:val="baseline"/>
      <w:outlineLvl w:val="5"/>
    </w:pPr>
    <w:rPr>
      <w:rFonts w:ascii="宋体" w:hAnsi="宋体"/>
      <w:b/>
      <w:kern w:val="0"/>
      <w:szCs w:val="21"/>
    </w:rPr>
  </w:style>
  <w:style w:type="paragraph" w:styleId="8">
    <w:name w:val="heading 7"/>
    <w:basedOn w:val="1"/>
    <w:next w:val="1"/>
    <w:link w:val="54"/>
    <w:qFormat/>
    <w:uiPriority w:val="0"/>
    <w:pPr>
      <w:keepNext/>
      <w:keepLines/>
      <w:numPr>
        <w:ilvl w:val="6"/>
        <w:numId w:val="1"/>
      </w:numPr>
      <w:adjustRightInd w:val="0"/>
      <w:spacing w:before="240" w:after="64" w:line="320" w:lineRule="atLeast"/>
      <w:textAlignment w:val="baseline"/>
      <w:outlineLvl w:val="6"/>
    </w:pPr>
    <w:rPr>
      <w:b/>
      <w:kern w:val="0"/>
      <w:szCs w:val="20"/>
    </w:rPr>
  </w:style>
  <w:style w:type="paragraph" w:styleId="9">
    <w:name w:val="heading 8"/>
    <w:basedOn w:val="1"/>
    <w:next w:val="1"/>
    <w:link w:val="55"/>
    <w:qFormat/>
    <w:uiPriority w:val="0"/>
    <w:pPr>
      <w:keepNext/>
      <w:keepLines/>
      <w:numPr>
        <w:ilvl w:val="7"/>
        <w:numId w:val="1"/>
      </w:numPr>
      <w:adjustRightInd w:val="0"/>
      <w:spacing w:before="240" w:after="64" w:line="320" w:lineRule="atLeast"/>
      <w:textAlignment w:val="baseline"/>
      <w:outlineLvl w:val="7"/>
    </w:pPr>
    <w:rPr>
      <w:rFonts w:ascii="Arial" w:hAnsi="Arial" w:eastAsia="黑体"/>
      <w:kern w:val="0"/>
      <w:szCs w:val="20"/>
    </w:rPr>
  </w:style>
  <w:style w:type="paragraph" w:styleId="10">
    <w:name w:val="heading 9"/>
    <w:basedOn w:val="1"/>
    <w:next w:val="1"/>
    <w:link w:val="56"/>
    <w:qFormat/>
    <w:uiPriority w:val="0"/>
    <w:pPr>
      <w:keepNext/>
      <w:keepLines/>
      <w:numPr>
        <w:ilvl w:val="8"/>
        <w:numId w:val="1"/>
      </w:numPr>
      <w:adjustRightInd w:val="0"/>
      <w:spacing w:before="240" w:after="64" w:line="320" w:lineRule="atLeast"/>
      <w:textAlignment w:val="baseline"/>
      <w:outlineLvl w:val="8"/>
    </w:pPr>
    <w:rPr>
      <w:rFonts w:ascii="Arial" w:hAnsi="Arial" w:eastAsia="黑体"/>
      <w:kern w:val="0"/>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pPr>
    <w:rPr>
      <w:sz w:val="20"/>
    </w:rPr>
  </w:style>
  <w:style w:type="paragraph" w:styleId="12">
    <w:name w:val="Normal Indent"/>
    <w:basedOn w:val="1"/>
    <w:link w:val="59"/>
    <w:qFormat/>
    <w:uiPriority w:val="0"/>
    <w:pPr>
      <w:ind w:firstLine="420"/>
    </w:pPr>
    <w:rPr>
      <w:rFonts w:asciiTheme="minorHAnsi" w:hAnsiTheme="minorHAnsi" w:cstheme="minorBidi"/>
      <w:szCs w:val="22"/>
    </w:rPr>
  </w:style>
  <w:style w:type="paragraph" w:styleId="13">
    <w:name w:val="caption"/>
    <w:basedOn w:val="1"/>
    <w:next w:val="1"/>
    <w:qFormat/>
    <w:uiPriority w:val="0"/>
    <w:pPr>
      <w:spacing w:before="152" w:after="160"/>
      <w:jc w:val="center"/>
    </w:pPr>
    <w:rPr>
      <w:rFonts w:ascii="宋体" w:hAnsi="宋体" w:cs="Arial"/>
      <w:sz w:val="24"/>
      <w:szCs w:val="20"/>
    </w:rPr>
  </w:style>
  <w:style w:type="paragraph" w:styleId="14">
    <w:name w:val="Document Map"/>
    <w:basedOn w:val="1"/>
    <w:link w:val="89"/>
    <w:semiHidden/>
    <w:qFormat/>
    <w:uiPriority w:val="0"/>
    <w:pPr>
      <w:shd w:val="clear" w:color="auto" w:fill="000080"/>
    </w:pPr>
    <w:rPr>
      <w:rFonts w:asciiTheme="minorHAnsi" w:hAnsiTheme="minorHAnsi" w:cstheme="minorBidi"/>
    </w:rPr>
  </w:style>
  <w:style w:type="paragraph" w:styleId="15">
    <w:name w:val="annotation text"/>
    <w:basedOn w:val="1"/>
    <w:link w:val="94"/>
    <w:unhideWhenUsed/>
    <w:qFormat/>
    <w:uiPriority w:val="0"/>
    <w:rPr>
      <w:rFonts w:asciiTheme="minorHAnsi" w:hAnsiTheme="minorHAnsi" w:eastAsiaTheme="minorEastAsia" w:cstheme="minorBidi"/>
      <w:szCs w:val="22"/>
    </w:rPr>
  </w:style>
  <w:style w:type="paragraph" w:styleId="16">
    <w:name w:val="Body Text"/>
    <w:basedOn w:val="1"/>
    <w:link w:val="84"/>
    <w:unhideWhenUsed/>
    <w:qFormat/>
    <w:uiPriority w:val="0"/>
    <w:pPr>
      <w:spacing w:after="120"/>
    </w:pPr>
  </w:style>
  <w:style w:type="paragraph" w:styleId="17">
    <w:name w:val="Body Text Indent"/>
    <w:basedOn w:val="1"/>
    <w:link w:val="60"/>
    <w:qFormat/>
    <w:uiPriority w:val="0"/>
    <w:pPr>
      <w:autoSpaceDE w:val="0"/>
      <w:autoSpaceDN w:val="0"/>
      <w:adjustRightInd w:val="0"/>
      <w:spacing w:line="210" w:lineRule="atLeast"/>
      <w:ind w:firstLine="516"/>
    </w:pPr>
    <w:rPr>
      <w:rFonts w:ascii="宋体" w:hAnsi="宋体" w:cstheme="minorBidi"/>
      <w:spacing w:val="5"/>
      <w:szCs w:val="22"/>
    </w:rPr>
  </w:style>
  <w:style w:type="paragraph" w:styleId="18">
    <w:name w:val="toc 5"/>
    <w:basedOn w:val="1"/>
    <w:next w:val="1"/>
    <w:qFormat/>
    <w:uiPriority w:val="39"/>
    <w:pPr>
      <w:ind w:left="840"/>
    </w:pPr>
    <w:rPr>
      <w:sz w:val="20"/>
    </w:rPr>
  </w:style>
  <w:style w:type="paragraph" w:styleId="19">
    <w:name w:val="toc 3"/>
    <w:basedOn w:val="1"/>
    <w:next w:val="1"/>
    <w:qFormat/>
    <w:uiPriority w:val="39"/>
    <w:pPr>
      <w:tabs>
        <w:tab w:val="right" w:leader="dot" w:pos="8296"/>
      </w:tabs>
      <w:ind w:left="420"/>
    </w:pPr>
    <w:rPr>
      <w:sz w:val="20"/>
    </w:rPr>
  </w:style>
  <w:style w:type="paragraph" w:styleId="20">
    <w:name w:val="Plain Text"/>
    <w:basedOn w:val="1"/>
    <w:link w:val="106"/>
    <w:qFormat/>
    <w:uiPriority w:val="0"/>
    <w:pPr>
      <w:overflowPunct w:val="0"/>
      <w:autoSpaceDE w:val="0"/>
      <w:autoSpaceDN w:val="0"/>
      <w:adjustRightInd w:val="0"/>
      <w:textAlignment w:val="baseline"/>
    </w:pPr>
    <w:rPr>
      <w:rFonts w:ascii="宋体" w:hAnsi="Courier New" w:cstheme="minorBidi"/>
      <w:szCs w:val="22"/>
      <w:lang w:val="en-GB"/>
    </w:rPr>
  </w:style>
  <w:style w:type="paragraph" w:styleId="21">
    <w:name w:val="toc 8"/>
    <w:basedOn w:val="1"/>
    <w:next w:val="1"/>
    <w:qFormat/>
    <w:uiPriority w:val="39"/>
    <w:pPr>
      <w:ind w:left="1470"/>
    </w:pPr>
    <w:rPr>
      <w:sz w:val="20"/>
    </w:rPr>
  </w:style>
  <w:style w:type="paragraph" w:styleId="22">
    <w:name w:val="Date"/>
    <w:basedOn w:val="1"/>
    <w:next w:val="1"/>
    <w:link w:val="57"/>
    <w:unhideWhenUsed/>
    <w:qFormat/>
    <w:uiPriority w:val="0"/>
    <w:pPr>
      <w:ind w:left="100" w:leftChars="2500"/>
    </w:pPr>
  </w:style>
  <w:style w:type="paragraph" w:styleId="23">
    <w:name w:val="endnote text"/>
    <w:basedOn w:val="1"/>
    <w:link w:val="174"/>
    <w:qFormat/>
    <w:uiPriority w:val="0"/>
    <w:pPr>
      <w:snapToGrid w:val="0"/>
    </w:pPr>
  </w:style>
  <w:style w:type="paragraph" w:styleId="24">
    <w:name w:val="Balloon Text"/>
    <w:basedOn w:val="1"/>
    <w:link w:val="65"/>
    <w:semiHidden/>
    <w:unhideWhenUsed/>
    <w:qFormat/>
    <w:uiPriority w:val="0"/>
    <w:rPr>
      <w:sz w:val="18"/>
      <w:szCs w:val="18"/>
    </w:rPr>
  </w:style>
  <w:style w:type="paragraph" w:styleId="25">
    <w:name w:val="footer"/>
    <w:basedOn w:val="1"/>
    <w:link w:val="68"/>
    <w:unhideWhenUsed/>
    <w:qFormat/>
    <w:uiPriority w:val="0"/>
    <w:pPr>
      <w:tabs>
        <w:tab w:val="center" w:pos="4153"/>
        <w:tab w:val="right" w:pos="8306"/>
      </w:tabs>
      <w:snapToGrid w:val="0"/>
    </w:pPr>
    <w:rPr>
      <w:sz w:val="18"/>
      <w:szCs w:val="18"/>
    </w:rPr>
  </w:style>
  <w:style w:type="paragraph" w:styleId="26">
    <w:name w:val="header"/>
    <w:basedOn w:val="1"/>
    <w:link w:val="66"/>
    <w:qFormat/>
    <w:uiPriority w:val="0"/>
    <w:pPr>
      <w:pBdr>
        <w:bottom w:val="single" w:color="auto" w:sz="6" w:space="1"/>
      </w:pBdr>
      <w:tabs>
        <w:tab w:val="center" w:pos="4153"/>
        <w:tab w:val="right" w:pos="8306"/>
      </w:tabs>
      <w:adjustRightInd w:val="0"/>
      <w:spacing w:line="240" w:lineRule="atLeast"/>
      <w:jc w:val="center"/>
      <w:textAlignment w:val="baseline"/>
    </w:pPr>
    <w:rPr>
      <w:rFonts w:asciiTheme="minorHAnsi" w:hAnsiTheme="minorHAnsi" w:cstheme="minorBidi"/>
      <w:sz w:val="18"/>
      <w:szCs w:val="22"/>
    </w:rPr>
  </w:style>
  <w:style w:type="paragraph" w:styleId="27">
    <w:name w:val="toc 1"/>
    <w:basedOn w:val="1"/>
    <w:next w:val="1"/>
    <w:qFormat/>
    <w:uiPriority w:val="39"/>
    <w:pPr>
      <w:tabs>
        <w:tab w:val="right" w:leader="dot" w:pos="8296"/>
      </w:tabs>
      <w:spacing w:before="120" w:line="360" w:lineRule="auto"/>
      <w:jc w:val="center"/>
    </w:pPr>
    <w:rPr>
      <w:rFonts w:ascii="宋体" w:hAnsi="宋体"/>
      <w:b/>
      <w:bCs/>
      <w:iCs/>
      <w:sz w:val="24"/>
    </w:rPr>
  </w:style>
  <w:style w:type="paragraph" w:styleId="28">
    <w:name w:val="toc 4"/>
    <w:basedOn w:val="1"/>
    <w:next w:val="1"/>
    <w:qFormat/>
    <w:uiPriority w:val="39"/>
    <w:pPr>
      <w:ind w:left="630"/>
    </w:pPr>
    <w:rPr>
      <w:sz w:val="20"/>
    </w:rPr>
  </w:style>
  <w:style w:type="paragraph" w:styleId="29">
    <w:name w:val="List"/>
    <w:basedOn w:val="1"/>
    <w:qFormat/>
    <w:uiPriority w:val="0"/>
    <w:rPr>
      <w:sz w:val="18"/>
      <w:szCs w:val="20"/>
    </w:rPr>
  </w:style>
  <w:style w:type="paragraph" w:styleId="30">
    <w:name w:val="toc 6"/>
    <w:basedOn w:val="1"/>
    <w:next w:val="1"/>
    <w:qFormat/>
    <w:uiPriority w:val="39"/>
    <w:pPr>
      <w:ind w:left="1050"/>
    </w:pPr>
    <w:rPr>
      <w:sz w:val="20"/>
    </w:rPr>
  </w:style>
  <w:style w:type="paragraph" w:styleId="31">
    <w:name w:val="Body Text Indent 3"/>
    <w:basedOn w:val="1"/>
    <w:link w:val="103"/>
    <w:qFormat/>
    <w:uiPriority w:val="0"/>
    <w:pPr>
      <w:spacing w:after="120"/>
      <w:ind w:left="420" w:leftChars="200"/>
    </w:pPr>
    <w:rPr>
      <w:rFonts w:asciiTheme="minorHAnsi" w:hAnsiTheme="minorHAnsi" w:cstheme="minorBidi"/>
      <w:sz w:val="16"/>
      <w:szCs w:val="16"/>
    </w:rPr>
  </w:style>
  <w:style w:type="paragraph" w:styleId="32">
    <w:name w:val="table of figures"/>
    <w:basedOn w:val="1"/>
    <w:next w:val="1"/>
    <w:qFormat/>
    <w:uiPriority w:val="0"/>
    <w:pPr>
      <w:spacing w:before="120" w:after="120"/>
      <w:ind w:left="840" w:hanging="420"/>
      <w:jc w:val="center"/>
    </w:pPr>
    <w:rPr>
      <w:rFonts w:eastAsia="黑体"/>
      <w:szCs w:val="20"/>
    </w:rPr>
  </w:style>
  <w:style w:type="paragraph" w:styleId="33">
    <w:name w:val="toc 2"/>
    <w:basedOn w:val="1"/>
    <w:next w:val="1"/>
    <w:unhideWhenUsed/>
    <w:qFormat/>
    <w:uiPriority w:val="39"/>
    <w:pPr>
      <w:ind w:left="420" w:leftChars="200"/>
    </w:pPr>
  </w:style>
  <w:style w:type="paragraph" w:styleId="34">
    <w:name w:val="toc 9"/>
    <w:basedOn w:val="1"/>
    <w:next w:val="1"/>
    <w:qFormat/>
    <w:uiPriority w:val="39"/>
    <w:pPr>
      <w:ind w:left="1680"/>
    </w:pPr>
    <w:rPr>
      <w:sz w:val="20"/>
    </w:rPr>
  </w:style>
  <w:style w:type="paragraph" w:styleId="35">
    <w:name w:val="Body Text 2"/>
    <w:basedOn w:val="1"/>
    <w:link w:val="112"/>
    <w:qFormat/>
    <w:uiPriority w:val="0"/>
    <w:pPr>
      <w:spacing w:after="120" w:line="480" w:lineRule="auto"/>
    </w:pPr>
    <w:rPr>
      <w:rFonts w:asciiTheme="minorHAnsi" w:hAnsiTheme="minorHAnsi" w:eastAsiaTheme="minorEastAsia" w:cstheme="minorBidi"/>
    </w:rPr>
  </w:style>
  <w:style w:type="paragraph" w:styleId="36">
    <w:name w:val="Normal (Web)"/>
    <w:basedOn w:val="1"/>
    <w:qFormat/>
    <w:uiPriority w:val="99"/>
    <w:pPr>
      <w:spacing w:before="300" w:after="300"/>
    </w:pPr>
    <w:rPr>
      <w:rFonts w:ascii="宋体" w:hAnsi="宋体" w:cs="宋体"/>
      <w:kern w:val="0"/>
      <w:sz w:val="24"/>
    </w:rPr>
  </w:style>
  <w:style w:type="paragraph" w:styleId="37">
    <w:name w:val="annotation subject"/>
    <w:basedOn w:val="15"/>
    <w:next w:val="15"/>
    <w:link w:val="119"/>
    <w:semiHidden/>
    <w:qFormat/>
    <w:uiPriority w:val="0"/>
    <w:rPr>
      <w:rFonts w:ascii="Times New Roman" w:hAnsi="Times New Roman" w:eastAsia="宋体" w:cs="Times New Roman"/>
      <w:b/>
      <w:bCs/>
      <w:szCs w:val="24"/>
    </w:rPr>
  </w:style>
  <w:style w:type="paragraph" w:styleId="38">
    <w:name w:val="Body Text First Indent"/>
    <w:basedOn w:val="16"/>
    <w:link w:val="83"/>
    <w:qFormat/>
    <w:uiPriority w:val="0"/>
    <w:pPr>
      <w:ind w:firstLine="420" w:firstLineChars="100"/>
    </w:pPr>
    <w:rPr>
      <w:rFonts w:asciiTheme="minorHAnsi" w:hAnsiTheme="minorHAnsi" w:cstheme="minorBidi"/>
    </w:rPr>
  </w:style>
  <w:style w:type="table" w:styleId="40">
    <w:name w:val="Table Grid"/>
    <w:basedOn w:val="3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endnote reference"/>
    <w:qFormat/>
    <w:uiPriority w:val="0"/>
    <w:rPr>
      <w:vertAlign w:val="superscript"/>
    </w:rPr>
  </w:style>
  <w:style w:type="character" w:styleId="44">
    <w:name w:val="page number"/>
    <w:basedOn w:val="41"/>
    <w:qFormat/>
    <w:uiPriority w:val="0"/>
  </w:style>
  <w:style w:type="character" w:styleId="45">
    <w:name w:val="FollowedHyperlink"/>
    <w:qFormat/>
    <w:uiPriority w:val="0"/>
    <w:rPr>
      <w:color w:val="800080"/>
      <w:u w:val="single"/>
    </w:rPr>
  </w:style>
  <w:style w:type="character" w:styleId="46">
    <w:name w:val="Hyperlink"/>
    <w:basedOn w:val="41"/>
    <w:unhideWhenUsed/>
    <w:qFormat/>
    <w:uiPriority w:val="99"/>
    <w:rPr>
      <w:color w:val="0000FF"/>
      <w:u w:val="single"/>
    </w:rPr>
  </w:style>
  <w:style w:type="character" w:styleId="47">
    <w:name w:val="annotation reference"/>
    <w:basedOn w:val="41"/>
    <w:semiHidden/>
    <w:unhideWhenUsed/>
    <w:qFormat/>
    <w:uiPriority w:val="99"/>
    <w:rPr>
      <w:sz w:val="21"/>
      <w:szCs w:val="21"/>
    </w:rPr>
  </w:style>
  <w:style w:type="character" w:customStyle="1" w:styleId="48">
    <w:name w:val="标题 1 字符"/>
    <w:basedOn w:val="41"/>
    <w:link w:val="2"/>
    <w:qFormat/>
    <w:uiPriority w:val="9"/>
    <w:rPr>
      <w:rFonts w:ascii="Times New Roman" w:hAnsi="Times New Roman" w:eastAsia="宋体" w:cs="Times New Roman"/>
      <w:b/>
      <w:bCs/>
      <w:kern w:val="44"/>
      <w:sz w:val="44"/>
      <w:szCs w:val="44"/>
    </w:rPr>
  </w:style>
  <w:style w:type="character" w:customStyle="1" w:styleId="49">
    <w:name w:val="标题 2 字符3"/>
    <w:link w:val="3"/>
    <w:qFormat/>
    <w:uiPriority w:val="0"/>
    <w:rPr>
      <w:rFonts w:ascii="黑体" w:hAnsi="黑体" w:eastAsia="宋体" w:cs="Times New Roman"/>
      <w:b/>
      <w:kern w:val="0"/>
      <w:sz w:val="28"/>
      <w:szCs w:val="30"/>
    </w:rPr>
  </w:style>
  <w:style w:type="character" w:customStyle="1" w:styleId="50">
    <w:name w:val="标题 3 字符"/>
    <w:basedOn w:val="41"/>
    <w:link w:val="4"/>
    <w:qFormat/>
    <w:uiPriority w:val="9"/>
    <w:rPr>
      <w:rFonts w:ascii="Times New Roman" w:hAnsi="Times New Roman" w:eastAsia="宋体" w:cs="Times New Roman"/>
      <w:b/>
      <w:bCs/>
      <w:sz w:val="32"/>
      <w:szCs w:val="32"/>
    </w:rPr>
  </w:style>
  <w:style w:type="character" w:customStyle="1" w:styleId="51">
    <w:name w:val="标题 4 字符"/>
    <w:basedOn w:val="41"/>
    <w:link w:val="5"/>
    <w:qFormat/>
    <w:uiPriority w:val="9"/>
    <w:rPr>
      <w:rFonts w:asciiTheme="majorHAnsi" w:hAnsiTheme="majorHAnsi" w:eastAsiaTheme="majorEastAsia" w:cstheme="majorBidi"/>
      <w:b/>
      <w:bCs/>
      <w:sz w:val="28"/>
      <w:szCs w:val="28"/>
    </w:rPr>
  </w:style>
  <w:style w:type="character" w:customStyle="1" w:styleId="52">
    <w:name w:val="标题 5 字符3"/>
    <w:link w:val="6"/>
    <w:qFormat/>
    <w:uiPriority w:val="0"/>
    <w:rPr>
      <w:rFonts w:ascii="Times New Roman" w:hAnsi="Times New Roman" w:eastAsia="宋体" w:cs="Times New Roman"/>
      <w:b/>
      <w:kern w:val="0"/>
      <w:szCs w:val="21"/>
    </w:rPr>
  </w:style>
  <w:style w:type="character" w:customStyle="1" w:styleId="53">
    <w:name w:val="标题 6 字符3"/>
    <w:link w:val="7"/>
    <w:qFormat/>
    <w:uiPriority w:val="0"/>
    <w:rPr>
      <w:rFonts w:ascii="宋体" w:hAnsi="宋体" w:eastAsia="宋体" w:cs="Times New Roman"/>
      <w:b/>
      <w:kern w:val="0"/>
      <w:szCs w:val="21"/>
    </w:rPr>
  </w:style>
  <w:style w:type="character" w:customStyle="1" w:styleId="54">
    <w:name w:val="标题 7 字符3"/>
    <w:link w:val="8"/>
    <w:qFormat/>
    <w:uiPriority w:val="0"/>
    <w:rPr>
      <w:rFonts w:ascii="Times New Roman" w:hAnsi="Times New Roman" w:eastAsia="宋体" w:cs="Times New Roman"/>
      <w:b/>
      <w:kern w:val="0"/>
      <w:szCs w:val="20"/>
    </w:rPr>
  </w:style>
  <w:style w:type="character" w:customStyle="1" w:styleId="55">
    <w:name w:val="标题 8 字符3"/>
    <w:link w:val="9"/>
    <w:qFormat/>
    <w:uiPriority w:val="0"/>
    <w:rPr>
      <w:rFonts w:ascii="Arial" w:hAnsi="Arial" w:eastAsia="黑体" w:cs="Times New Roman"/>
      <w:kern w:val="0"/>
      <w:szCs w:val="20"/>
    </w:rPr>
  </w:style>
  <w:style w:type="character" w:customStyle="1" w:styleId="56">
    <w:name w:val="标题 9 字符3"/>
    <w:link w:val="10"/>
    <w:qFormat/>
    <w:uiPriority w:val="0"/>
    <w:rPr>
      <w:rFonts w:ascii="Arial" w:hAnsi="Arial" w:eastAsia="黑体" w:cs="Times New Roman"/>
      <w:kern w:val="0"/>
      <w:szCs w:val="20"/>
    </w:rPr>
  </w:style>
  <w:style w:type="character" w:customStyle="1" w:styleId="57">
    <w:name w:val="日期 字符"/>
    <w:basedOn w:val="41"/>
    <w:link w:val="22"/>
    <w:qFormat/>
    <w:uiPriority w:val="99"/>
    <w:rPr>
      <w:rFonts w:ascii="Times New Roman" w:hAnsi="Times New Roman" w:eastAsia="宋体" w:cs="Times New Roman"/>
      <w:szCs w:val="24"/>
    </w:rPr>
  </w:style>
  <w:style w:type="paragraph" w:customStyle="1" w:styleId="58">
    <w:name w:val="TOC 标题1"/>
    <w:basedOn w:val="2"/>
    <w:next w:val="1"/>
    <w:qFormat/>
    <w:uiPriority w:val="39"/>
    <w:pPr>
      <w:spacing w:before="480" w:after="0" w:line="276" w:lineRule="auto"/>
      <w:outlineLvl w:val="9"/>
    </w:pPr>
    <w:rPr>
      <w:rFonts w:ascii="Cambria" w:hAnsi="Cambria"/>
      <w:color w:val="365F91"/>
      <w:kern w:val="0"/>
      <w:sz w:val="28"/>
      <w:szCs w:val="28"/>
    </w:rPr>
  </w:style>
  <w:style w:type="character" w:customStyle="1" w:styleId="59">
    <w:name w:val="正文缩进 字符1"/>
    <w:link w:val="12"/>
    <w:qFormat/>
    <w:uiPriority w:val="0"/>
    <w:rPr>
      <w:rFonts w:eastAsia="宋体"/>
    </w:rPr>
  </w:style>
  <w:style w:type="character" w:customStyle="1" w:styleId="60">
    <w:name w:val="正文文本缩进 字符1"/>
    <w:link w:val="17"/>
    <w:qFormat/>
    <w:uiPriority w:val="99"/>
    <w:rPr>
      <w:rFonts w:ascii="宋体" w:hAnsi="宋体" w:eastAsia="宋体"/>
      <w:spacing w:val="5"/>
    </w:rPr>
  </w:style>
  <w:style w:type="character" w:customStyle="1" w:styleId="61">
    <w:name w:val="正文文本缩进 字符"/>
    <w:basedOn w:val="41"/>
    <w:qFormat/>
    <w:uiPriority w:val="99"/>
    <w:rPr>
      <w:rFonts w:ascii="Times New Roman" w:hAnsi="Times New Roman" w:eastAsia="宋体" w:cs="Times New Roman"/>
      <w:szCs w:val="24"/>
    </w:rPr>
  </w:style>
  <w:style w:type="character" w:customStyle="1" w:styleId="62">
    <w:name w:val="正文缩进 字符"/>
    <w:qFormat/>
    <w:uiPriority w:val="0"/>
    <w:rPr>
      <w:rFonts w:ascii="Times New Roman" w:hAnsi="Times New Roman" w:eastAsia="宋体" w:cs="Times New Roman"/>
      <w:szCs w:val="20"/>
    </w:rPr>
  </w:style>
  <w:style w:type="paragraph" w:styleId="63">
    <w:name w:val="List Paragraph"/>
    <w:basedOn w:val="1"/>
    <w:link w:val="64"/>
    <w:qFormat/>
    <w:uiPriority w:val="34"/>
    <w:pPr>
      <w:ind w:firstLine="420" w:firstLineChars="200"/>
    </w:pPr>
  </w:style>
  <w:style w:type="character" w:customStyle="1" w:styleId="64">
    <w:name w:val="列表段落 字符1"/>
    <w:link w:val="63"/>
    <w:qFormat/>
    <w:uiPriority w:val="34"/>
    <w:rPr>
      <w:rFonts w:ascii="Times New Roman" w:hAnsi="Times New Roman" w:eastAsia="宋体" w:cs="Times New Roman"/>
      <w:szCs w:val="24"/>
    </w:rPr>
  </w:style>
  <w:style w:type="character" w:customStyle="1" w:styleId="65">
    <w:name w:val="批注框文本 字符"/>
    <w:basedOn w:val="41"/>
    <w:link w:val="24"/>
    <w:semiHidden/>
    <w:qFormat/>
    <w:uiPriority w:val="99"/>
    <w:rPr>
      <w:rFonts w:ascii="Times New Roman" w:hAnsi="Times New Roman" w:eastAsia="宋体" w:cs="Times New Roman"/>
      <w:sz w:val="18"/>
      <w:szCs w:val="18"/>
    </w:rPr>
  </w:style>
  <w:style w:type="character" w:customStyle="1" w:styleId="66">
    <w:name w:val="页眉 字符1"/>
    <w:link w:val="26"/>
    <w:qFormat/>
    <w:uiPriority w:val="0"/>
    <w:rPr>
      <w:rFonts w:eastAsia="宋体"/>
      <w:sz w:val="18"/>
    </w:rPr>
  </w:style>
  <w:style w:type="character" w:customStyle="1" w:styleId="67">
    <w:name w:val="页眉 字符"/>
    <w:basedOn w:val="41"/>
    <w:qFormat/>
    <w:uiPriority w:val="0"/>
    <w:rPr>
      <w:rFonts w:ascii="Times New Roman" w:hAnsi="Times New Roman" w:eastAsia="宋体" w:cs="Times New Roman"/>
      <w:sz w:val="18"/>
      <w:szCs w:val="18"/>
    </w:rPr>
  </w:style>
  <w:style w:type="character" w:customStyle="1" w:styleId="68">
    <w:name w:val="页脚 字符"/>
    <w:basedOn w:val="41"/>
    <w:link w:val="25"/>
    <w:qFormat/>
    <w:uiPriority w:val="0"/>
    <w:rPr>
      <w:rFonts w:ascii="Times New Roman" w:hAnsi="Times New Roman" w:eastAsia="宋体" w:cs="Times New Roman"/>
      <w:sz w:val="18"/>
      <w:szCs w:val="18"/>
    </w:rPr>
  </w:style>
  <w:style w:type="character" w:customStyle="1" w:styleId="69">
    <w:name w:val="标题 2 字符"/>
    <w:basedOn w:val="41"/>
    <w:qFormat/>
    <w:uiPriority w:val="9"/>
    <w:rPr>
      <w:rFonts w:asciiTheme="majorHAnsi" w:hAnsiTheme="majorHAnsi" w:eastAsiaTheme="majorEastAsia" w:cstheme="majorBidi"/>
      <w:b/>
      <w:bCs/>
      <w:sz w:val="32"/>
      <w:szCs w:val="32"/>
    </w:rPr>
  </w:style>
  <w:style w:type="character" w:customStyle="1" w:styleId="70">
    <w:name w:val="标题 5 字符"/>
    <w:basedOn w:val="41"/>
    <w:qFormat/>
    <w:uiPriority w:val="9"/>
    <w:rPr>
      <w:rFonts w:ascii="Times New Roman" w:hAnsi="Times New Roman" w:eastAsia="宋体" w:cs="Times New Roman"/>
      <w:b/>
      <w:bCs/>
      <w:sz w:val="28"/>
      <w:szCs w:val="28"/>
    </w:rPr>
  </w:style>
  <w:style w:type="character" w:customStyle="1" w:styleId="71">
    <w:name w:val="标题 6 字符"/>
    <w:basedOn w:val="41"/>
    <w:qFormat/>
    <w:uiPriority w:val="9"/>
    <w:rPr>
      <w:rFonts w:asciiTheme="majorHAnsi" w:hAnsiTheme="majorHAnsi" w:eastAsiaTheme="majorEastAsia" w:cstheme="majorBidi"/>
      <w:b/>
      <w:bCs/>
      <w:sz w:val="24"/>
      <w:szCs w:val="24"/>
    </w:rPr>
  </w:style>
  <w:style w:type="character" w:customStyle="1" w:styleId="72">
    <w:name w:val="标题 7 字符"/>
    <w:basedOn w:val="41"/>
    <w:qFormat/>
    <w:uiPriority w:val="9"/>
    <w:rPr>
      <w:rFonts w:ascii="Times New Roman" w:hAnsi="Times New Roman" w:eastAsia="宋体" w:cs="Times New Roman"/>
      <w:b/>
      <w:bCs/>
      <w:sz w:val="24"/>
      <w:szCs w:val="24"/>
    </w:rPr>
  </w:style>
  <w:style w:type="character" w:customStyle="1" w:styleId="73">
    <w:name w:val="标题 8 字符"/>
    <w:basedOn w:val="41"/>
    <w:qFormat/>
    <w:uiPriority w:val="9"/>
    <w:rPr>
      <w:rFonts w:asciiTheme="majorHAnsi" w:hAnsiTheme="majorHAnsi" w:eastAsiaTheme="majorEastAsia" w:cstheme="majorBidi"/>
      <w:sz w:val="24"/>
      <w:szCs w:val="24"/>
    </w:rPr>
  </w:style>
  <w:style w:type="character" w:customStyle="1" w:styleId="74">
    <w:name w:val="标题 9 字符"/>
    <w:basedOn w:val="41"/>
    <w:qFormat/>
    <w:uiPriority w:val="9"/>
    <w:rPr>
      <w:rFonts w:asciiTheme="majorHAnsi" w:hAnsiTheme="majorHAnsi" w:eastAsiaTheme="majorEastAsia" w:cstheme="majorBidi"/>
      <w:szCs w:val="21"/>
    </w:rPr>
  </w:style>
  <w:style w:type="character" w:customStyle="1" w:styleId="75">
    <w:name w:val="标题 1 字符3"/>
    <w:qFormat/>
    <w:uiPriority w:val="0"/>
    <w:rPr>
      <w:rFonts w:ascii="黑体" w:hAnsi="黑体" w:eastAsia="黑体" w:cs="Times New Roman"/>
      <w:b/>
      <w:kern w:val="0"/>
      <w:sz w:val="30"/>
      <w:szCs w:val="30"/>
    </w:rPr>
  </w:style>
  <w:style w:type="character" w:customStyle="1" w:styleId="76">
    <w:name w:val="标题 3 字符1"/>
    <w:qFormat/>
    <w:uiPriority w:val="0"/>
    <w:rPr>
      <w:rFonts w:ascii="Times New Roman" w:hAnsi="Times New Roman" w:eastAsia="宋体" w:cs="Times New Roman"/>
      <w:b/>
      <w:kern w:val="0"/>
      <w:sz w:val="24"/>
      <w:szCs w:val="24"/>
    </w:rPr>
  </w:style>
  <w:style w:type="character" w:customStyle="1" w:styleId="77">
    <w:name w:val="标题 4 字符3"/>
    <w:qFormat/>
    <w:uiPriority w:val="0"/>
    <w:rPr>
      <w:rFonts w:ascii="Arial" w:hAnsi="Arial" w:eastAsia="黑体" w:cs="Times New Roman"/>
      <w:b/>
      <w:kern w:val="0"/>
      <w:sz w:val="24"/>
      <w:szCs w:val="24"/>
    </w:rPr>
  </w:style>
  <w:style w:type="paragraph" w:customStyle="1" w:styleId="78">
    <w:name w:val="sun"/>
    <w:basedOn w:val="1"/>
    <w:qFormat/>
    <w:uiPriority w:val="0"/>
    <w:pPr>
      <w:adjustRightInd w:val="0"/>
      <w:spacing w:line="360" w:lineRule="auto"/>
      <w:ind w:firstLine="540"/>
      <w:textAlignment w:val="baseline"/>
    </w:pPr>
    <w:rPr>
      <w:spacing w:val="20"/>
      <w:kern w:val="28"/>
      <w:sz w:val="24"/>
      <w:szCs w:val="20"/>
    </w:rPr>
  </w:style>
  <w:style w:type="character" w:customStyle="1" w:styleId="79">
    <w:name w:val="标题 3 Char"/>
    <w:qFormat/>
    <w:uiPriority w:val="0"/>
    <w:rPr>
      <w:rFonts w:eastAsia="宋体"/>
      <w:b/>
      <w:sz w:val="24"/>
      <w:szCs w:val="24"/>
      <w:lang w:val="en-US" w:eastAsia="zh-CN" w:bidi="ar-SA"/>
    </w:rPr>
  </w:style>
  <w:style w:type="character" w:customStyle="1" w:styleId="80">
    <w:name w:val="正文缩进 Char"/>
    <w:qFormat/>
    <w:uiPriority w:val="0"/>
    <w:rPr>
      <w:rFonts w:eastAsia="宋体"/>
      <w:kern w:val="2"/>
      <w:sz w:val="21"/>
      <w:lang w:val="en-US" w:eastAsia="zh-CN" w:bidi="ar-SA"/>
    </w:rPr>
  </w:style>
  <w:style w:type="paragraph" w:customStyle="1" w:styleId="81">
    <w:name w:val="编号—列表"/>
    <w:basedOn w:val="1"/>
    <w:next w:val="1"/>
    <w:qFormat/>
    <w:uiPriority w:val="0"/>
    <w:pPr>
      <w:spacing w:line="500" w:lineRule="exact"/>
      <w:jc w:val="center"/>
    </w:pPr>
    <w:rPr>
      <w:sz w:val="18"/>
    </w:rPr>
  </w:style>
  <w:style w:type="paragraph" w:customStyle="1" w:styleId="82">
    <w:name w:val="公式编号"/>
    <w:basedOn w:val="1"/>
    <w:qFormat/>
    <w:uiPriority w:val="0"/>
    <w:pPr>
      <w:ind w:firstLine="420"/>
    </w:pPr>
    <w:rPr>
      <w:sz w:val="18"/>
      <w:szCs w:val="20"/>
    </w:rPr>
  </w:style>
  <w:style w:type="character" w:customStyle="1" w:styleId="83">
    <w:name w:val="正文文本首行缩进 字符1"/>
    <w:basedOn w:val="41"/>
    <w:link w:val="38"/>
    <w:qFormat/>
    <w:uiPriority w:val="0"/>
    <w:rPr>
      <w:rFonts w:eastAsia="宋体"/>
      <w:szCs w:val="24"/>
    </w:rPr>
  </w:style>
  <w:style w:type="character" w:customStyle="1" w:styleId="84">
    <w:name w:val="正文文本 字符"/>
    <w:basedOn w:val="41"/>
    <w:link w:val="16"/>
    <w:qFormat/>
    <w:uiPriority w:val="99"/>
    <w:rPr>
      <w:rFonts w:ascii="Times New Roman" w:hAnsi="Times New Roman" w:eastAsia="宋体" w:cs="Times New Roman"/>
      <w:szCs w:val="24"/>
    </w:rPr>
  </w:style>
  <w:style w:type="character" w:customStyle="1" w:styleId="85">
    <w:name w:val="正文首行缩进 字符"/>
    <w:basedOn w:val="84"/>
    <w:qFormat/>
    <w:uiPriority w:val="99"/>
    <w:rPr>
      <w:rFonts w:ascii="Times New Roman" w:hAnsi="Times New Roman" w:eastAsia="宋体" w:cs="Times New Roman"/>
      <w:szCs w:val="24"/>
    </w:rPr>
  </w:style>
  <w:style w:type="character" w:customStyle="1" w:styleId="86">
    <w:name w:val="large"/>
    <w:basedOn w:val="41"/>
    <w:qFormat/>
    <w:uiPriority w:val="0"/>
  </w:style>
  <w:style w:type="character" w:customStyle="1" w:styleId="87">
    <w:name w:val="表格标题 Char"/>
    <w:link w:val="88"/>
    <w:qFormat/>
    <w:uiPriority w:val="0"/>
    <w:rPr>
      <w:b/>
      <w:szCs w:val="21"/>
    </w:rPr>
  </w:style>
  <w:style w:type="paragraph" w:customStyle="1" w:styleId="88">
    <w:name w:val="表格标题"/>
    <w:basedOn w:val="1"/>
    <w:link w:val="87"/>
    <w:qFormat/>
    <w:uiPriority w:val="0"/>
    <w:pPr>
      <w:spacing w:line="500" w:lineRule="exact"/>
      <w:jc w:val="center"/>
    </w:pPr>
    <w:rPr>
      <w:rFonts w:asciiTheme="minorHAnsi" w:hAnsiTheme="minorHAnsi" w:eastAsiaTheme="minorEastAsia" w:cstheme="minorBidi"/>
      <w:b/>
      <w:szCs w:val="21"/>
    </w:rPr>
  </w:style>
  <w:style w:type="character" w:customStyle="1" w:styleId="89">
    <w:name w:val="文档结构图 字符1"/>
    <w:link w:val="14"/>
    <w:semiHidden/>
    <w:qFormat/>
    <w:uiPriority w:val="0"/>
    <w:rPr>
      <w:rFonts w:eastAsia="宋体"/>
      <w:szCs w:val="24"/>
      <w:shd w:val="clear" w:color="auto" w:fill="000080"/>
    </w:rPr>
  </w:style>
  <w:style w:type="character" w:customStyle="1" w:styleId="90">
    <w:name w:val="文档结构图 字符"/>
    <w:basedOn w:val="41"/>
    <w:qFormat/>
    <w:uiPriority w:val="99"/>
    <w:rPr>
      <w:rFonts w:ascii="Microsoft YaHei UI" w:hAnsi="Times New Roman" w:eastAsia="Microsoft YaHei UI" w:cs="Times New Roman"/>
      <w:sz w:val="18"/>
      <w:szCs w:val="18"/>
    </w:rPr>
  </w:style>
  <w:style w:type="character" w:customStyle="1" w:styleId="91">
    <w:name w:val="样式6 样式2"/>
    <w:basedOn w:val="41"/>
    <w:qFormat/>
    <w:uiPriority w:val="0"/>
  </w:style>
  <w:style w:type="character" w:customStyle="1" w:styleId="92">
    <w:name w:val="批注主题 Char"/>
    <w:link w:val="93"/>
    <w:qFormat/>
    <w:uiPriority w:val="0"/>
    <w:rPr>
      <w:rFonts w:eastAsia="宋体"/>
      <w:b/>
      <w:szCs w:val="24"/>
    </w:rPr>
  </w:style>
  <w:style w:type="paragraph" w:customStyle="1" w:styleId="93">
    <w:name w:val="批注主题1"/>
    <w:basedOn w:val="15"/>
    <w:next w:val="15"/>
    <w:link w:val="92"/>
    <w:qFormat/>
    <w:uiPriority w:val="0"/>
    <w:rPr>
      <w:rFonts w:eastAsia="宋体"/>
      <w:b/>
      <w:szCs w:val="24"/>
    </w:rPr>
  </w:style>
  <w:style w:type="character" w:customStyle="1" w:styleId="94">
    <w:name w:val="批注文字 字符1"/>
    <w:basedOn w:val="41"/>
    <w:link w:val="15"/>
    <w:qFormat/>
    <w:uiPriority w:val="0"/>
  </w:style>
  <w:style w:type="character" w:customStyle="1" w:styleId="95">
    <w:name w:val="批注文字 字符"/>
    <w:basedOn w:val="41"/>
    <w:qFormat/>
    <w:uiPriority w:val="0"/>
    <w:rPr>
      <w:rFonts w:ascii="Times New Roman" w:hAnsi="Times New Roman" w:eastAsia="宋体" w:cs="Times New Roman"/>
      <w:szCs w:val="24"/>
    </w:rPr>
  </w:style>
  <w:style w:type="character" w:customStyle="1" w:styleId="96">
    <w:name w:val="页眉 Char"/>
    <w:qFormat/>
    <w:uiPriority w:val="0"/>
    <w:rPr>
      <w:rFonts w:eastAsia="宋体"/>
      <w:sz w:val="18"/>
      <w:lang w:val="en-US" w:eastAsia="zh-CN" w:bidi="ar-SA"/>
    </w:rPr>
  </w:style>
  <w:style w:type="character" w:customStyle="1" w:styleId="97">
    <w:name w:val="正文文本 Char"/>
    <w:qFormat/>
    <w:uiPriority w:val="0"/>
    <w:rPr>
      <w:rFonts w:eastAsia="宋体"/>
      <w:kern w:val="2"/>
      <w:sz w:val="21"/>
      <w:szCs w:val="24"/>
      <w:lang w:val="en-US" w:eastAsia="zh-CN" w:bidi="ar-SA"/>
    </w:rPr>
  </w:style>
  <w:style w:type="character" w:customStyle="1" w:styleId="98">
    <w:name w:val="address-info"/>
    <w:qFormat/>
    <w:uiPriority w:val="0"/>
  </w:style>
  <w:style w:type="character" w:customStyle="1" w:styleId="99">
    <w:name w:val="表格标题1 Char"/>
    <w:link w:val="100"/>
    <w:qFormat/>
    <w:uiPriority w:val="0"/>
    <w:rPr>
      <w:b/>
      <w:szCs w:val="21"/>
    </w:rPr>
  </w:style>
  <w:style w:type="paragraph" w:customStyle="1" w:styleId="100">
    <w:name w:val="表格标题1"/>
    <w:basedOn w:val="1"/>
    <w:link w:val="99"/>
    <w:qFormat/>
    <w:uiPriority w:val="0"/>
    <w:pPr>
      <w:spacing w:line="500" w:lineRule="exact"/>
      <w:jc w:val="center"/>
    </w:pPr>
    <w:rPr>
      <w:rFonts w:asciiTheme="minorHAnsi" w:hAnsiTheme="minorHAnsi" w:eastAsiaTheme="minorEastAsia" w:cstheme="minorBidi"/>
      <w:b/>
      <w:szCs w:val="21"/>
    </w:rPr>
  </w:style>
  <w:style w:type="character" w:customStyle="1" w:styleId="101">
    <w:name w:val="样式4"/>
    <w:basedOn w:val="41"/>
    <w:qFormat/>
    <w:uiPriority w:val="0"/>
  </w:style>
  <w:style w:type="character" w:customStyle="1" w:styleId="102">
    <w:name w:val="正文文本缩进 Char"/>
    <w:qFormat/>
    <w:uiPriority w:val="0"/>
    <w:rPr>
      <w:rFonts w:ascii="宋体" w:hAnsi="宋体" w:eastAsia="宋体"/>
      <w:spacing w:val="5"/>
      <w:sz w:val="21"/>
      <w:lang w:val="en-US" w:eastAsia="zh-CN" w:bidi="ar-SA"/>
    </w:rPr>
  </w:style>
  <w:style w:type="character" w:customStyle="1" w:styleId="103">
    <w:name w:val="正文文本缩进 3 字符1"/>
    <w:link w:val="31"/>
    <w:qFormat/>
    <w:uiPriority w:val="0"/>
    <w:rPr>
      <w:rFonts w:eastAsia="宋体"/>
      <w:sz w:val="16"/>
      <w:szCs w:val="16"/>
    </w:rPr>
  </w:style>
  <w:style w:type="character" w:customStyle="1" w:styleId="104">
    <w:name w:val="正文文本缩进 3 字符"/>
    <w:basedOn w:val="41"/>
    <w:qFormat/>
    <w:uiPriority w:val="99"/>
    <w:rPr>
      <w:rFonts w:ascii="Times New Roman" w:hAnsi="Times New Roman" w:eastAsia="宋体" w:cs="Times New Roman"/>
      <w:sz w:val="16"/>
      <w:szCs w:val="16"/>
    </w:rPr>
  </w:style>
  <w:style w:type="character" w:customStyle="1" w:styleId="105">
    <w:name w:val="页脚 Char"/>
    <w:qFormat/>
    <w:uiPriority w:val="99"/>
    <w:rPr>
      <w:rFonts w:eastAsia="宋体"/>
      <w:kern w:val="2"/>
      <w:sz w:val="18"/>
      <w:szCs w:val="18"/>
      <w:lang w:val="en-US" w:eastAsia="zh-CN" w:bidi="ar-SA"/>
    </w:rPr>
  </w:style>
  <w:style w:type="character" w:customStyle="1" w:styleId="106">
    <w:name w:val="纯文本 字符1"/>
    <w:link w:val="20"/>
    <w:qFormat/>
    <w:uiPriority w:val="0"/>
    <w:rPr>
      <w:rFonts w:ascii="宋体" w:hAnsi="Courier New" w:eastAsia="宋体"/>
      <w:lang w:val="en-GB"/>
    </w:rPr>
  </w:style>
  <w:style w:type="character" w:customStyle="1" w:styleId="107">
    <w:name w:val="纯文本 字符"/>
    <w:basedOn w:val="41"/>
    <w:qFormat/>
    <w:uiPriority w:val="99"/>
    <w:rPr>
      <w:rFonts w:hAnsi="Courier New" w:cs="Courier New" w:asciiTheme="minorEastAsia"/>
      <w:szCs w:val="24"/>
    </w:rPr>
  </w:style>
  <w:style w:type="character" w:customStyle="1" w:styleId="108">
    <w:name w:val="批注文字 Char"/>
    <w:qFormat/>
    <w:uiPriority w:val="0"/>
    <w:rPr>
      <w:rFonts w:eastAsia="宋体"/>
      <w:kern w:val="2"/>
      <w:sz w:val="21"/>
      <w:szCs w:val="24"/>
      <w:lang w:val="en-US" w:eastAsia="zh-CN" w:bidi="ar-SA"/>
    </w:rPr>
  </w:style>
  <w:style w:type="character" w:customStyle="1" w:styleId="109">
    <w:name w:val="apple-style-span"/>
    <w:basedOn w:val="41"/>
    <w:qFormat/>
    <w:uiPriority w:val="0"/>
  </w:style>
  <w:style w:type="character" w:customStyle="1" w:styleId="110">
    <w:name w:val="style71"/>
    <w:qFormat/>
    <w:uiPriority w:val="0"/>
    <w:rPr>
      <w:sz w:val="21"/>
      <w:szCs w:val="21"/>
    </w:rPr>
  </w:style>
  <w:style w:type="character" w:customStyle="1" w:styleId="111">
    <w:name w:val="日期 字符4"/>
    <w:qFormat/>
    <w:uiPriority w:val="0"/>
    <w:rPr>
      <w:szCs w:val="24"/>
    </w:rPr>
  </w:style>
  <w:style w:type="character" w:customStyle="1" w:styleId="112">
    <w:name w:val="正文文本 2 字符1"/>
    <w:link w:val="35"/>
    <w:qFormat/>
    <w:uiPriority w:val="0"/>
    <w:rPr>
      <w:szCs w:val="24"/>
    </w:rPr>
  </w:style>
  <w:style w:type="character" w:customStyle="1" w:styleId="113">
    <w:name w:val="正文文本 2 字符"/>
    <w:basedOn w:val="41"/>
    <w:qFormat/>
    <w:uiPriority w:val="99"/>
    <w:rPr>
      <w:rFonts w:ascii="Times New Roman" w:hAnsi="Times New Roman" w:eastAsia="宋体" w:cs="Times New Roman"/>
      <w:szCs w:val="24"/>
    </w:rPr>
  </w:style>
  <w:style w:type="character" w:customStyle="1" w:styleId="114">
    <w:name w:val="正文111 Char"/>
    <w:qFormat/>
    <w:uiPriority w:val="0"/>
    <w:rPr>
      <w:rFonts w:ascii="宋体" w:hAnsi="宋体" w:eastAsia="宋体" w:cs="Arial"/>
      <w:kern w:val="2"/>
      <w:sz w:val="21"/>
      <w:szCs w:val="18"/>
      <w:lang w:val="en-US" w:eastAsia="zh-CN" w:bidi="ar-SA"/>
    </w:rPr>
  </w:style>
  <w:style w:type="character" w:customStyle="1" w:styleId="115">
    <w:name w:val="批注框文本 Char"/>
    <w:link w:val="116"/>
    <w:qFormat/>
    <w:uiPriority w:val="0"/>
    <w:rPr>
      <w:sz w:val="18"/>
    </w:rPr>
  </w:style>
  <w:style w:type="paragraph" w:customStyle="1" w:styleId="116">
    <w:name w:val="批注框文本1"/>
    <w:basedOn w:val="1"/>
    <w:link w:val="115"/>
    <w:qFormat/>
    <w:uiPriority w:val="0"/>
    <w:rPr>
      <w:rFonts w:asciiTheme="minorHAnsi" w:hAnsiTheme="minorHAnsi" w:eastAsiaTheme="minorEastAsia" w:cstheme="minorBidi"/>
      <w:sz w:val="18"/>
      <w:szCs w:val="22"/>
    </w:rPr>
  </w:style>
  <w:style w:type="character" w:customStyle="1" w:styleId="117">
    <w:name w:val="font11"/>
    <w:qFormat/>
    <w:uiPriority w:val="0"/>
    <w:rPr>
      <w:rFonts w:hint="eastAsia" w:ascii="宋体" w:hAnsi="宋体" w:eastAsia="宋体"/>
      <w:color w:val="000000"/>
      <w:sz w:val="18"/>
      <w:szCs w:val="18"/>
      <w:u w:val="none"/>
    </w:rPr>
  </w:style>
  <w:style w:type="paragraph" w:customStyle="1" w:styleId="118">
    <w:name w:val="xl24"/>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character" w:customStyle="1" w:styleId="119">
    <w:name w:val="批注主题 字符1"/>
    <w:link w:val="37"/>
    <w:semiHidden/>
    <w:qFormat/>
    <w:uiPriority w:val="0"/>
    <w:rPr>
      <w:rFonts w:ascii="Times New Roman" w:hAnsi="Times New Roman" w:eastAsia="宋体" w:cs="Times New Roman"/>
      <w:b/>
      <w:bCs/>
      <w:szCs w:val="24"/>
    </w:rPr>
  </w:style>
  <w:style w:type="character" w:customStyle="1" w:styleId="120">
    <w:name w:val="批注主题 字符"/>
    <w:basedOn w:val="95"/>
    <w:semiHidden/>
    <w:qFormat/>
    <w:uiPriority w:val="99"/>
    <w:rPr>
      <w:rFonts w:ascii="Times New Roman" w:hAnsi="Times New Roman" w:eastAsia="宋体" w:cs="Times New Roman"/>
      <w:b/>
      <w:bCs/>
      <w:szCs w:val="24"/>
    </w:rPr>
  </w:style>
  <w:style w:type="paragraph" w:customStyle="1" w:styleId="121">
    <w:name w:val="表格文字"/>
    <w:basedOn w:val="1"/>
    <w:qFormat/>
    <w:uiPriority w:val="0"/>
    <w:pPr>
      <w:jc w:val="center"/>
    </w:pPr>
    <w:rPr>
      <w:sz w:val="18"/>
    </w:rPr>
  </w:style>
  <w:style w:type="paragraph" w:customStyle="1" w:styleId="122">
    <w:name w:val="正文111"/>
    <w:basedOn w:val="1"/>
    <w:qFormat/>
    <w:uiPriority w:val="0"/>
    <w:pPr>
      <w:spacing w:line="300" w:lineRule="auto"/>
      <w:ind w:firstLine="200" w:firstLineChars="200"/>
    </w:pPr>
    <w:rPr>
      <w:rFonts w:ascii="宋体" w:hAnsi="宋体" w:cs="Arial"/>
      <w:szCs w:val="18"/>
    </w:rPr>
  </w:style>
  <w:style w:type="paragraph" w:customStyle="1" w:styleId="123">
    <w:name w:val="列出段落1"/>
    <w:basedOn w:val="1"/>
    <w:qFormat/>
    <w:uiPriority w:val="0"/>
    <w:pPr>
      <w:ind w:firstLine="420" w:firstLineChars="200"/>
    </w:pPr>
    <w:rPr>
      <w:rFonts w:hint="eastAsia" w:ascii="Calibri" w:hAnsi="Calibri"/>
      <w:szCs w:val="20"/>
    </w:rPr>
  </w:style>
  <w:style w:type="paragraph" w:customStyle="1" w:styleId="124">
    <w:name w:val="zengwen"/>
    <w:basedOn w:val="1"/>
    <w:qFormat/>
    <w:uiPriority w:val="0"/>
    <w:pPr>
      <w:spacing w:line="300" w:lineRule="auto"/>
      <w:ind w:firstLine="200" w:firstLineChars="200"/>
    </w:pPr>
    <w:rPr>
      <w:rFonts w:ascii="宋体" w:hAnsi="宋体" w:cs="宋体"/>
      <w:kern w:val="0"/>
      <w:szCs w:val="21"/>
    </w:rPr>
  </w:style>
  <w:style w:type="paragraph" w:customStyle="1" w:styleId="125">
    <w:name w:val="列出段落2"/>
    <w:basedOn w:val="1"/>
    <w:qFormat/>
    <w:uiPriority w:val="0"/>
    <w:pPr>
      <w:ind w:firstLine="420" w:firstLineChars="200"/>
    </w:pPr>
    <w:rPr>
      <w:rFonts w:hint="eastAsia" w:ascii="Calibri" w:hAnsi="Calibri"/>
      <w:szCs w:val="20"/>
    </w:rPr>
  </w:style>
  <w:style w:type="paragraph" w:customStyle="1" w:styleId="126">
    <w:name w:val="标111"/>
    <w:basedOn w:val="4"/>
    <w:qFormat/>
    <w:uiPriority w:val="0"/>
    <w:pPr>
      <w:spacing w:before="120" w:after="120" w:line="360" w:lineRule="auto"/>
    </w:pPr>
    <w:rPr>
      <w:rFonts w:ascii="幼圆" w:eastAsia="幼圆"/>
      <w:sz w:val="21"/>
    </w:rPr>
  </w:style>
  <w:style w:type="paragraph" w:customStyle="1" w:styleId="127">
    <w:name w:val="编号—插图"/>
    <w:basedOn w:val="1"/>
    <w:next w:val="1"/>
    <w:qFormat/>
    <w:uiPriority w:val="0"/>
    <w:pPr>
      <w:jc w:val="center"/>
    </w:pPr>
    <w:rPr>
      <w:sz w:val="18"/>
    </w:rPr>
  </w:style>
  <w:style w:type="paragraph" w:customStyle="1" w:styleId="128">
    <w:name w:val="样式1"/>
    <w:basedOn w:val="38"/>
    <w:qFormat/>
    <w:uiPriority w:val="0"/>
    <w:pPr>
      <w:ind w:firstLine="200" w:firstLineChars="200"/>
    </w:pPr>
    <w:rPr>
      <w:rFonts w:ascii="Times New Roman" w:hAnsi="Times New Roman" w:cs="Times New Roman"/>
    </w:rPr>
  </w:style>
  <w:style w:type="paragraph" w:customStyle="1" w:styleId="129">
    <w:name w:val="Char Char Char Char"/>
    <w:basedOn w:val="1"/>
    <w:qFormat/>
    <w:uiPriority w:val="0"/>
    <w:pPr>
      <w:snapToGrid w:val="0"/>
      <w:spacing w:line="360" w:lineRule="auto"/>
      <w:ind w:firstLine="200" w:firstLineChars="200"/>
    </w:pPr>
    <w:rPr>
      <w:rFonts w:eastAsia="仿宋_GB2312"/>
      <w:sz w:val="24"/>
    </w:rPr>
  </w:style>
  <w:style w:type="paragraph" w:customStyle="1" w:styleId="130">
    <w:name w:val="p0"/>
    <w:basedOn w:val="1"/>
    <w:qFormat/>
    <w:uiPriority w:val="0"/>
    <w:rPr>
      <w:rFonts w:hint="eastAsia" w:ascii="宋体" w:hAnsi="宋体"/>
      <w:szCs w:val="20"/>
    </w:rPr>
  </w:style>
  <w:style w:type="paragraph" w:styleId="13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2">
    <w:name w:val="xl37"/>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Cs w:val="20"/>
    </w:rPr>
  </w:style>
  <w:style w:type="character" w:customStyle="1" w:styleId="133">
    <w:name w:val="页眉 Char1"/>
    <w:qFormat/>
    <w:uiPriority w:val="99"/>
    <w:rPr>
      <w:sz w:val="18"/>
      <w:szCs w:val="18"/>
    </w:rPr>
  </w:style>
  <w:style w:type="character" w:customStyle="1" w:styleId="134">
    <w:name w:val="页脚 Char1"/>
    <w:qFormat/>
    <w:uiPriority w:val="99"/>
    <w:rPr>
      <w:sz w:val="18"/>
      <w:szCs w:val="18"/>
    </w:rPr>
  </w:style>
  <w:style w:type="character" w:customStyle="1" w:styleId="135">
    <w:name w:val="样式 报告正文 Char"/>
    <w:link w:val="136"/>
    <w:qFormat/>
    <w:uiPriority w:val="0"/>
    <w:rPr>
      <w:rFonts w:eastAsia="仿宋_GB2312"/>
      <w:sz w:val="28"/>
      <w:szCs w:val="24"/>
    </w:rPr>
  </w:style>
  <w:style w:type="paragraph" w:customStyle="1" w:styleId="136">
    <w:name w:val="样式 报告正文"/>
    <w:basedOn w:val="16"/>
    <w:link w:val="135"/>
    <w:qFormat/>
    <w:uiPriority w:val="0"/>
    <w:pPr>
      <w:spacing w:after="0" w:line="480" w:lineRule="exact"/>
      <w:ind w:firstLine="560" w:firstLineChars="200"/>
    </w:pPr>
    <w:rPr>
      <w:rFonts w:eastAsia="仿宋_GB2312" w:asciiTheme="minorHAnsi" w:hAnsiTheme="minorHAnsi" w:cstheme="minorBidi"/>
      <w:sz w:val="28"/>
    </w:rPr>
  </w:style>
  <w:style w:type="character" w:customStyle="1" w:styleId="137">
    <w:name w:val="标题 1 字符1"/>
    <w:qFormat/>
    <w:uiPriority w:val="0"/>
    <w:rPr>
      <w:rFonts w:ascii="黑体" w:hAnsi="黑体" w:eastAsia="黑体" w:cs="Times New Roman"/>
      <w:b/>
      <w:kern w:val="0"/>
      <w:sz w:val="30"/>
      <w:szCs w:val="30"/>
    </w:rPr>
  </w:style>
  <w:style w:type="character" w:customStyle="1" w:styleId="138">
    <w:name w:val="标题 2 字符1"/>
    <w:qFormat/>
    <w:uiPriority w:val="0"/>
    <w:rPr>
      <w:rFonts w:ascii="黑体" w:hAnsi="黑体" w:eastAsia="宋体" w:cs="Times New Roman"/>
      <w:b/>
      <w:kern w:val="0"/>
      <w:sz w:val="28"/>
      <w:szCs w:val="30"/>
    </w:rPr>
  </w:style>
  <w:style w:type="character" w:customStyle="1" w:styleId="139">
    <w:name w:val="标题 4 字符1"/>
    <w:qFormat/>
    <w:uiPriority w:val="0"/>
    <w:rPr>
      <w:rFonts w:ascii="Arial" w:hAnsi="Arial" w:eastAsia="黑体" w:cs="Times New Roman"/>
      <w:b/>
      <w:kern w:val="0"/>
      <w:sz w:val="24"/>
      <w:szCs w:val="24"/>
    </w:rPr>
  </w:style>
  <w:style w:type="character" w:customStyle="1" w:styleId="140">
    <w:name w:val="标题 5 字符1"/>
    <w:qFormat/>
    <w:uiPriority w:val="0"/>
    <w:rPr>
      <w:rFonts w:ascii="Times New Roman" w:hAnsi="Times New Roman" w:eastAsia="宋体" w:cs="Times New Roman"/>
      <w:b/>
      <w:kern w:val="0"/>
      <w:szCs w:val="21"/>
    </w:rPr>
  </w:style>
  <w:style w:type="character" w:customStyle="1" w:styleId="141">
    <w:name w:val="标题 6 字符1"/>
    <w:qFormat/>
    <w:uiPriority w:val="0"/>
    <w:rPr>
      <w:rFonts w:ascii="宋体" w:hAnsi="宋体" w:eastAsia="宋体" w:cs="Times New Roman"/>
      <w:b/>
      <w:kern w:val="0"/>
      <w:szCs w:val="21"/>
    </w:rPr>
  </w:style>
  <w:style w:type="character" w:customStyle="1" w:styleId="142">
    <w:name w:val="标题 7 字符1"/>
    <w:qFormat/>
    <w:uiPriority w:val="0"/>
    <w:rPr>
      <w:rFonts w:ascii="Times New Roman" w:hAnsi="Times New Roman" w:eastAsia="宋体" w:cs="Times New Roman"/>
      <w:b/>
      <w:kern w:val="0"/>
      <w:szCs w:val="20"/>
    </w:rPr>
  </w:style>
  <w:style w:type="character" w:customStyle="1" w:styleId="143">
    <w:name w:val="标题 8 字符1"/>
    <w:qFormat/>
    <w:uiPriority w:val="0"/>
    <w:rPr>
      <w:rFonts w:ascii="Arial" w:hAnsi="Arial" w:eastAsia="黑体" w:cs="Times New Roman"/>
      <w:kern w:val="0"/>
      <w:szCs w:val="20"/>
    </w:rPr>
  </w:style>
  <w:style w:type="character" w:customStyle="1" w:styleId="144">
    <w:name w:val="标题 9 字符1"/>
    <w:qFormat/>
    <w:uiPriority w:val="0"/>
    <w:rPr>
      <w:rFonts w:ascii="Arial" w:hAnsi="Arial" w:eastAsia="黑体" w:cs="Times New Roman"/>
      <w:kern w:val="0"/>
      <w:szCs w:val="20"/>
    </w:rPr>
  </w:style>
  <w:style w:type="character" w:customStyle="1" w:styleId="145">
    <w:name w:val="正文文本 字符2"/>
    <w:qFormat/>
    <w:uiPriority w:val="0"/>
    <w:rPr>
      <w:rFonts w:eastAsia="宋体"/>
      <w:szCs w:val="24"/>
    </w:rPr>
  </w:style>
  <w:style w:type="character" w:customStyle="1" w:styleId="146">
    <w:name w:val="正文缩进 字符2"/>
    <w:qFormat/>
    <w:uiPriority w:val="0"/>
    <w:rPr>
      <w:rFonts w:eastAsia="宋体"/>
    </w:rPr>
  </w:style>
  <w:style w:type="character" w:customStyle="1" w:styleId="147">
    <w:name w:val="正文文本首行缩进 字符"/>
    <w:qFormat/>
    <w:uiPriority w:val="0"/>
  </w:style>
  <w:style w:type="character" w:customStyle="1" w:styleId="148">
    <w:name w:val="正文文本缩进 字符2"/>
    <w:qFormat/>
    <w:uiPriority w:val="0"/>
    <w:rPr>
      <w:rFonts w:ascii="宋体" w:hAnsi="宋体" w:eastAsia="宋体"/>
      <w:spacing w:val="5"/>
    </w:rPr>
  </w:style>
  <w:style w:type="character" w:customStyle="1" w:styleId="149">
    <w:name w:val="正文文本缩进 3 字符2"/>
    <w:qFormat/>
    <w:uiPriority w:val="0"/>
    <w:rPr>
      <w:rFonts w:eastAsia="宋体"/>
      <w:sz w:val="16"/>
      <w:szCs w:val="16"/>
    </w:rPr>
  </w:style>
  <w:style w:type="character" w:customStyle="1" w:styleId="150">
    <w:name w:val="纯文本 字符2"/>
    <w:qFormat/>
    <w:uiPriority w:val="0"/>
    <w:rPr>
      <w:rFonts w:ascii="宋体" w:hAnsi="Courier New" w:eastAsia="宋体"/>
      <w:lang w:val="en-GB"/>
    </w:rPr>
  </w:style>
  <w:style w:type="character" w:customStyle="1" w:styleId="151">
    <w:name w:val="日期 字符2"/>
    <w:qFormat/>
    <w:uiPriority w:val="0"/>
    <w:rPr>
      <w:szCs w:val="24"/>
    </w:rPr>
  </w:style>
  <w:style w:type="character" w:customStyle="1" w:styleId="152">
    <w:name w:val="正文文本 2 字符2"/>
    <w:qFormat/>
    <w:uiPriority w:val="0"/>
    <w:rPr>
      <w:szCs w:val="24"/>
    </w:rPr>
  </w:style>
  <w:style w:type="character" w:customStyle="1" w:styleId="153">
    <w:name w:val="列表段落 字符"/>
    <w:qFormat/>
    <w:uiPriority w:val="34"/>
    <w:rPr>
      <w:rFonts w:ascii="Calibri" w:hAnsi="Calibri" w:eastAsia="宋体" w:cs="Times New Roman"/>
    </w:rPr>
  </w:style>
  <w:style w:type="paragraph" w:customStyle="1" w:styleId="154">
    <w:name w:val="列表段落1"/>
    <w:basedOn w:val="1"/>
    <w:qFormat/>
    <w:uiPriority w:val="0"/>
    <w:pPr>
      <w:ind w:firstLine="420" w:firstLineChars="200"/>
    </w:pPr>
    <w:rPr>
      <w:rFonts w:hint="eastAsia" w:ascii="Calibri" w:hAnsi="Calibri"/>
      <w:szCs w:val="20"/>
    </w:rPr>
  </w:style>
  <w:style w:type="character" w:customStyle="1" w:styleId="155">
    <w:name w:val="纯文本 字符3"/>
    <w:qFormat/>
    <w:uiPriority w:val="0"/>
    <w:rPr>
      <w:rFonts w:ascii="宋体" w:hAnsi="Courier New" w:eastAsia="宋体"/>
      <w:lang w:val="en-GB"/>
    </w:rPr>
  </w:style>
  <w:style w:type="character" w:customStyle="1" w:styleId="156">
    <w:name w:val="标题 8 字符2"/>
    <w:qFormat/>
    <w:uiPriority w:val="0"/>
    <w:rPr>
      <w:rFonts w:ascii="Arial" w:hAnsi="Arial" w:eastAsia="黑体" w:cs="Times New Roman"/>
      <w:kern w:val="0"/>
      <w:szCs w:val="20"/>
    </w:rPr>
  </w:style>
  <w:style w:type="character" w:customStyle="1" w:styleId="157">
    <w:name w:val="标题 9 字符2"/>
    <w:qFormat/>
    <w:uiPriority w:val="0"/>
    <w:rPr>
      <w:rFonts w:ascii="Arial" w:hAnsi="Arial" w:eastAsia="黑体" w:cs="Times New Roman"/>
      <w:kern w:val="0"/>
      <w:szCs w:val="20"/>
    </w:rPr>
  </w:style>
  <w:style w:type="character" w:customStyle="1" w:styleId="158">
    <w:name w:val="正文文本缩进 3 字符3"/>
    <w:qFormat/>
    <w:uiPriority w:val="0"/>
    <w:rPr>
      <w:rFonts w:eastAsia="宋体"/>
      <w:sz w:val="16"/>
      <w:szCs w:val="16"/>
    </w:rPr>
  </w:style>
  <w:style w:type="character" w:customStyle="1" w:styleId="159">
    <w:name w:val="标题 1 字符2"/>
    <w:qFormat/>
    <w:uiPriority w:val="0"/>
    <w:rPr>
      <w:rFonts w:ascii="黑体" w:hAnsi="黑体" w:eastAsia="黑体" w:cs="Times New Roman"/>
      <w:b/>
      <w:kern w:val="0"/>
      <w:sz w:val="30"/>
      <w:szCs w:val="30"/>
    </w:rPr>
  </w:style>
  <w:style w:type="character" w:customStyle="1" w:styleId="160">
    <w:name w:val="标题 6 字符2"/>
    <w:qFormat/>
    <w:uiPriority w:val="0"/>
    <w:rPr>
      <w:rFonts w:ascii="宋体" w:hAnsi="宋体" w:eastAsia="宋体" w:cs="Times New Roman"/>
      <w:b/>
      <w:kern w:val="0"/>
      <w:szCs w:val="21"/>
    </w:rPr>
  </w:style>
  <w:style w:type="character" w:customStyle="1" w:styleId="161">
    <w:name w:val="正文文本 字符3"/>
    <w:qFormat/>
    <w:uiPriority w:val="0"/>
    <w:rPr>
      <w:rFonts w:eastAsia="宋体"/>
      <w:szCs w:val="24"/>
    </w:rPr>
  </w:style>
  <w:style w:type="character" w:customStyle="1" w:styleId="162">
    <w:name w:val="标题 5 字符2"/>
    <w:qFormat/>
    <w:uiPriority w:val="0"/>
    <w:rPr>
      <w:rFonts w:ascii="Times New Roman" w:hAnsi="Times New Roman" w:eastAsia="宋体" w:cs="Times New Roman"/>
      <w:b/>
      <w:kern w:val="0"/>
      <w:szCs w:val="21"/>
    </w:rPr>
  </w:style>
  <w:style w:type="character" w:customStyle="1" w:styleId="163">
    <w:name w:val="列出段落 字符"/>
    <w:qFormat/>
    <w:uiPriority w:val="34"/>
    <w:rPr>
      <w:rFonts w:ascii="Calibri" w:hAnsi="Calibri" w:eastAsia="宋体" w:cs="Times New Roman"/>
    </w:rPr>
  </w:style>
  <w:style w:type="character" w:customStyle="1" w:styleId="164">
    <w:name w:val="日期 字符3"/>
    <w:qFormat/>
    <w:uiPriority w:val="0"/>
    <w:rPr>
      <w:szCs w:val="24"/>
    </w:rPr>
  </w:style>
  <w:style w:type="character" w:customStyle="1" w:styleId="165">
    <w:name w:val="标题 7 字符2"/>
    <w:qFormat/>
    <w:uiPriority w:val="0"/>
    <w:rPr>
      <w:rFonts w:ascii="Times New Roman" w:hAnsi="Times New Roman" w:eastAsia="宋体" w:cs="Times New Roman"/>
      <w:b/>
      <w:kern w:val="0"/>
      <w:szCs w:val="20"/>
    </w:rPr>
  </w:style>
  <w:style w:type="character" w:customStyle="1" w:styleId="166">
    <w:name w:val="标题 2 字符2"/>
    <w:qFormat/>
    <w:uiPriority w:val="0"/>
    <w:rPr>
      <w:rFonts w:ascii="黑体" w:hAnsi="黑体" w:eastAsia="宋体" w:cs="Times New Roman"/>
      <w:b/>
      <w:kern w:val="0"/>
      <w:sz w:val="28"/>
      <w:szCs w:val="30"/>
    </w:rPr>
  </w:style>
  <w:style w:type="character" w:customStyle="1" w:styleId="167">
    <w:name w:val="正文首行缩进 字符2"/>
    <w:qFormat/>
    <w:uiPriority w:val="0"/>
  </w:style>
  <w:style w:type="character" w:customStyle="1" w:styleId="168">
    <w:name w:val="正文文本 2 字符3"/>
    <w:qFormat/>
    <w:uiPriority w:val="0"/>
    <w:rPr>
      <w:szCs w:val="24"/>
    </w:rPr>
  </w:style>
  <w:style w:type="character" w:customStyle="1" w:styleId="169">
    <w:name w:val="正文缩进 字符3"/>
    <w:qFormat/>
    <w:uiPriority w:val="0"/>
    <w:rPr>
      <w:rFonts w:eastAsia="宋体"/>
    </w:rPr>
  </w:style>
  <w:style w:type="character" w:customStyle="1" w:styleId="170">
    <w:name w:val="标题 3 字符2"/>
    <w:qFormat/>
    <w:uiPriority w:val="0"/>
    <w:rPr>
      <w:rFonts w:ascii="Times New Roman" w:hAnsi="Times New Roman" w:eastAsia="宋体" w:cs="Times New Roman"/>
      <w:b/>
      <w:kern w:val="0"/>
      <w:sz w:val="24"/>
      <w:szCs w:val="24"/>
    </w:rPr>
  </w:style>
  <w:style w:type="character" w:customStyle="1" w:styleId="171">
    <w:name w:val="页脚 字符1"/>
    <w:qFormat/>
    <w:uiPriority w:val="99"/>
    <w:rPr>
      <w:rFonts w:eastAsia="宋体"/>
      <w:sz w:val="18"/>
      <w:szCs w:val="18"/>
    </w:rPr>
  </w:style>
  <w:style w:type="character" w:customStyle="1" w:styleId="172">
    <w:name w:val="标题 4 字符2"/>
    <w:qFormat/>
    <w:uiPriority w:val="0"/>
    <w:rPr>
      <w:rFonts w:ascii="Arial" w:hAnsi="Arial" w:eastAsia="黑体" w:cs="Times New Roman"/>
      <w:b/>
      <w:kern w:val="0"/>
      <w:sz w:val="24"/>
      <w:szCs w:val="24"/>
    </w:rPr>
  </w:style>
  <w:style w:type="character" w:customStyle="1" w:styleId="173">
    <w:name w:val="正文文本缩进 字符3"/>
    <w:qFormat/>
    <w:uiPriority w:val="0"/>
    <w:rPr>
      <w:rFonts w:ascii="宋体" w:hAnsi="宋体" w:eastAsia="宋体"/>
      <w:spacing w:val="5"/>
    </w:rPr>
  </w:style>
  <w:style w:type="character" w:customStyle="1" w:styleId="174">
    <w:name w:val="尾注文本 字符1"/>
    <w:link w:val="23"/>
    <w:qFormat/>
    <w:uiPriority w:val="0"/>
    <w:rPr>
      <w:rFonts w:ascii="Times New Roman" w:hAnsi="Times New Roman" w:eastAsia="宋体" w:cs="Times New Roman"/>
      <w:szCs w:val="24"/>
    </w:rPr>
  </w:style>
  <w:style w:type="character" w:customStyle="1" w:styleId="175">
    <w:name w:val="尾注文本 字符"/>
    <w:basedOn w:val="41"/>
    <w:semiHidden/>
    <w:qFormat/>
    <w:uiPriority w:val="99"/>
    <w:rPr>
      <w:rFonts w:ascii="Times New Roman" w:hAnsi="Times New Roman" w:eastAsia="宋体" w:cs="Times New Roman"/>
      <w:szCs w:val="24"/>
    </w:rPr>
  </w:style>
  <w:style w:type="table" w:customStyle="1" w:styleId="176">
    <w:name w:val="网格型1"/>
    <w:basedOn w:val="39"/>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78">
    <w:name w:val="TOC 标题11"/>
    <w:basedOn w:val="2"/>
    <w:next w:val="1"/>
    <w:qFormat/>
    <w:uiPriority w:val="39"/>
    <w:pPr>
      <w:spacing w:before="480" w:after="0" w:line="276" w:lineRule="auto"/>
      <w:outlineLvl w:val="9"/>
    </w:pPr>
    <w:rPr>
      <w:rFonts w:ascii="Cambria" w:hAnsi="Cambria"/>
      <w:color w:val="365F91"/>
      <w:kern w:val="0"/>
      <w:sz w:val="28"/>
      <w:szCs w:val="28"/>
    </w:rPr>
  </w:style>
  <w:style w:type="paragraph" w:customStyle="1" w:styleId="179">
    <w:name w:val="修订11"/>
    <w:hidden/>
    <w:semiHidden/>
    <w:qFormat/>
    <w:uiPriority w:val="99"/>
    <w:rPr>
      <w:rFonts w:ascii="Times New Roman" w:hAnsi="Times New Roman" w:eastAsia="宋体" w:cs="Times New Roman"/>
      <w:kern w:val="2"/>
      <w:sz w:val="21"/>
      <w:szCs w:val="24"/>
      <w:lang w:val="en-US" w:eastAsia="zh-CN" w:bidi="ar-SA"/>
    </w:rPr>
  </w:style>
  <w:style w:type="paragraph" w:customStyle="1" w:styleId="180">
    <w:name w:val="正文1"/>
    <w:basedOn w:val="1"/>
    <w:link w:val="181"/>
    <w:qFormat/>
    <w:uiPriority w:val="0"/>
    <w:pPr>
      <w:widowControl w:val="0"/>
      <w:spacing w:line="500" w:lineRule="exact"/>
      <w:ind w:firstLine="200" w:firstLineChars="200"/>
      <w:jc w:val="both"/>
    </w:pPr>
    <w:rPr>
      <w:sz w:val="24"/>
    </w:rPr>
  </w:style>
  <w:style w:type="character" w:customStyle="1" w:styleId="181">
    <w:name w:val="正文1 字符"/>
    <w:basedOn w:val="80"/>
    <w:link w:val="180"/>
    <w:qFormat/>
    <w:uiPriority w:val="0"/>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numbering" Target="numbering.xml"/><Relationship Id="rId98" Type="http://schemas.openxmlformats.org/officeDocument/2006/relationships/customXml" Target="../customXml/item1.xml"/><Relationship Id="rId97" Type="http://schemas.openxmlformats.org/officeDocument/2006/relationships/image" Target="media/image56.jpeg"/><Relationship Id="rId96" Type="http://schemas.openxmlformats.org/officeDocument/2006/relationships/image" Target="media/image55.wmf"/><Relationship Id="rId95" Type="http://schemas.openxmlformats.org/officeDocument/2006/relationships/image" Target="media/image54.wmf"/><Relationship Id="rId94" Type="http://schemas.openxmlformats.org/officeDocument/2006/relationships/image" Target="media/image53.wmf"/><Relationship Id="rId93" Type="http://schemas.openxmlformats.org/officeDocument/2006/relationships/image" Target="media/image52.wmf"/><Relationship Id="rId92" Type="http://schemas.openxmlformats.org/officeDocument/2006/relationships/image" Target="media/image51.wmf"/><Relationship Id="rId91" Type="http://schemas.openxmlformats.org/officeDocument/2006/relationships/image" Target="media/image50.wmf"/><Relationship Id="rId90" Type="http://schemas.openxmlformats.org/officeDocument/2006/relationships/oleObject" Target="embeddings/oleObject35.bin"/><Relationship Id="rId9" Type="http://schemas.openxmlformats.org/officeDocument/2006/relationships/image" Target="media/image3.emf"/><Relationship Id="rId89" Type="http://schemas.openxmlformats.org/officeDocument/2006/relationships/image" Target="media/image49.wmf"/><Relationship Id="rId88" Type="http://schemas.openxmlformats.org/officeDocument/2006/relationships/oleObject" Target="embeddings/oleObject34.bin"/><Relationship Id="rId87" Type="http://schemas.openxmlformats.org/officeDocument/2006/relationships/image" Target="media/image48.wmf"/><Relationship Id="rId86" Type="http://schemas.openxmlformats.org/officeDocument/2006/relationships/oleObject" Target="embeddings/oleObject33.bin"/><Relationship Id="rId85" Type="http://schemas.openxmlformats.org/officeDocument/2006/relationships/image" Target="media/image47.wmf"/><Relationship Id="rId84" Type="http://schemas.openxmlformats.org/officeDocument/2006/relationships/oleObject" Target="embeddings/oleObject32.bin"/><Relationship Id="rId83" Type="http://schemas.openxmlformats.org/officeDocument/2006/relationships/image" Target="media/image46.wmf"/><Relationship Id="rId82" Type="http://schemas.openxmlformats.org/officeDocument/2006/relationships/oleObject" Target="embeddings/oleObject31.bin"/><Relationship Id="rId81" Type="http://schemas.openxmlformats.org/officeDocument/2006/relationships/image" Target="media/image45.wmf"/><Relationship Id="rId80" Type="http://schemas.openxmlformats.org/officeDocument/2006/relationships/oleObject" Target="embeddings/oleObject30.bin"/><Relationship Id="rId8" Type="http://schemas.openxmlformats.org/officeDocument/2006/relationships/image" Target="media/image2.jpeg"/><Relationship Id="rId79" Type="http://schemas.openxmlformats.org/officeDocument/2006/relationships/image" Target="media/image44.png"/><Relationship Id="rId78" Type="http://schemas.openxmlformats.org/officeDocument/2006/relationships/image" Target="media/image43.wmf"/><Relationship Id="rId77" Type="http://schemas.openxmlformats.org/officeDocument/2006/relationships/image" Target="media/image42.jpeg"/><Relationship Id="rId76" Type="http://schemas.openxmlformats.org/officeDocument/2006/relationships/image" Target="media/image41.jpeg"/><Relationship Id="rId75" Type="http://schemas.openxmlformats.org/officeDocument/2006/relationships/image" Target="media/image40.jpeg"/><Relationship Id="rId74" Type="http://schemas.openxmlformats.org/officeDocument/2006/relationships/image" Target="media/image39.jpeg"/><Relationship Id="rId73" Type="http://schemas.openxmlformats.org/officeDocument/2006/relationships/image" Target="media/image38.jpeg"/><Relationship Id="rId72" Type="http://schemas.openxmlformats.org/officeDocument/2006/relationships/image" Target="media/image37.jpeg"/><Relationship Id="rId71" Type="http://schemas.openxmlformats.org/officeDocument/2006/relationships/image" Target="media/image36.jpeg"/><Relationship Id="rId70" Type="http://schemas.openxmlformats.org/officeDocument/2006/relationships/image" Target="media/image35.jpeg"/><Relationship Id="rId7" Type="http://schemas.openxmlformats.org/officeDocument/2006/relationships/image" Target="media/image1.jpeg"/><Relationship Id="rId69" Type="http://schemas.openxmlformats.org/officeDocument/2006/relationships/image" Target="media/image34.jpeg"/><Relationship Id="rId68" Type="http://schemas.openxmlformats.org/officeDocument/2006/relationships/image" Target="media/image33.wmf"/><Relationship Id="rId67" Type="http://schemas.openxmlformats.org/officeDocument/2006/relationships/oleObject" Target="embeddings/oleObject29.bin"/><Relationship Id="rId66" Type="http://schemas.openxmlformats.org/officeDocument/2006/relationships/image" Target="media/image32.wmf"/><Relationship Id="rId65" Type="http://schemas.openxmlformats.org/officeDocument/2006/relationships/oleObject" Target="embeddings/oleObject28.bin"/><Relationship Id="rId64" Type="http://schemas.openxmlformats.org/officeDocument/2006/relationships/image" Target="media/image31.wmf"/><Relationship Id="rId63" Type="http://schemas.openxmlformats.org/officeDocument/2006/relationships/oleObject" Target="embeddings/oleObject27.bin"/><Relationship Id="rId62" Type="http://schemas.openxmlformats.org/officeDocument/2006/relationships/image" Target="media/image30.wmf"/><Relationship Id="rId61" Type="http://schemas.openxmlformats.org/officeDocument/2006/relationships/oleObject" Target="embeddings/oleObject26.bin"/><Relationship Id="rId60" Type="http://schemas.openxmlformats.org/officeDocument/2006/relationships/image" Target="media/image29.wmf"/><Relationship Id="rId6" Type="http://schemas.openxmlformats.org/officeDocument/2006/relationships/theme" Target="theme/theme1.xml"/><Relationship Id="rId59" Type="http://schemas.openxmlformats.org/officeDocument/2006/relationships/oleObject" Target="embeddings/oleObject25.bin"/><Relationship Id="rId58" Type="http://schemas.openxmlformats.org/officeDocument/2006/relationships/image" Target="media/image28.wmf"/><Relationship Id="rId57" Type="http://schemas.openxmlformats.org/officeDocument/2006/relationships/oleObject" Target="embeddings/oleObject24.bin"/><Relationship Id="rId56" Type="http://schemas.openxmlformats.org/officeDocument/2006/relationships/image" Target="media/image27.jpeg"/><Relationship Id="rId55" Type="http://schemas.openxmlformats.org/officeDocument/2006/relationships/image" Target="media/image26.wmf"/><Relationship Id="rId54" Type="http://schemas.openxmlformats.org/officeDocument/2006/relationships/oleObject" Target="embeddings/oleObject23.bin"/><Relationship Id="rId53" Type="http://schemas.openxmlformats.org/officeDocument/2006/relationships/image" Target="media/image25.wmf"/><Relationship Id="rId52" Type="http://schemas.openxmlformats.org/officeDocument/2006/relationships/oleObject" Target="embeddings/oleObject22.bin"/><Relationship Id="rId51" Type="http://schemas.openxmlformats.org/officeDocument/2006/relationships/image" Target="media/image24.wmf"/><Relationship Id="rId50" Type="http://schemas.openxmlformats.org/officeDocument/2006/relationships/oleObject" Target="embeddings/oleObject21.bin"/><Relationship Id="rId5" Type="http://schemas.openxmlformats.org/officeDocument/2006/relationships/footer" Target="footer2.xml"/><Relationship Id="rId49" Type="http://schemas.openxmlformats.org/officeDocument/2006/relationships/oleObject" Target="embeddings/oleObject20.bin"/><Relationship Id="rId48" Type="http://schemas.openxmlformats.org/officeDocument/2006/relationships/oleObject" Target="embeddings/oleObject19.bin"/><Relationship Id="rId47" Type="http://schemas.openxmlformats.org/officeDocument/2006/relationships/image" Target="media/image23.wmf"/><Relationship Id="rId46" Type="http://schemas.openxmlformats.org/officeDocument/2006/relationships/oleObject" Target="embeddings/oleObject18.bin"/><Relationship Id="rId45" Type="http://schemas.openxmlformats.org/officeDocument/2006/relationships/image" Target="media/image22.wmf"/><Relationship Id="rId44" Type="http://schemas.openxmlformats.org/officeDocument/2006/relationships/oleObject" Target="embeddings/oleObject17.bin"/><Relationship Id="rId43" Type="http://schemas.openxmlformats.org/officeDocument/2006/relationships/image" Target="media/image21.wmf"/><Relationship Id="rId42" Type="http://schemas.openxmlformats.org/officeDocument/2006/relationships/oleObject" Target="embeddings/oleObject16.bin"/><Relationship Id="rId41" Type="http://schemas.openxmlformats.org/officeDocument/2006/relationships/image" Target="media/image20.wmf"/><Relationship Id="rId40" Type="http://schemas.openxmlformats.org/officeDocument/2006/relationships/oleObject" Target="embeddings/oleObject15.bin"/><Relationship Id="rId4" Type="http://schemas.openxmlformats.org/officeDocument/2006/relationships/footer" Target="footer1.xml"/><Relationship Id="rId39" Type="http://schemas.openxmlformats.org/officeDocument/2006/relationships/image" Target="media/image19.wmf"/><Relationship Id="rId38" Type="http://schemas.openxmlformats.org/officeDocument/2006/relationships/oleObject" Target="embeddings/oleObject14.bin"/><Relationship Id="rId37" Type="http://schemas.openxmlformats.org/officeDocument/2006/relationships/image" Target="media/image18.wmf"/><Relationship Id="rId36" Type="http://schemas.openxmlformats.org/officeDocument/2006/relationships/oleObject" Target="embeddings/oleObject13.bin"/><Relationship Id="rId35" Type="http://schemas.openxmlformats.org/officeDocument/2006/relationships/image" Target="media/image17.wmf"/><Relationship Id="rId34" Type="http://schemas.openxmlformats.org/officeDocument/2006/relationships/oleObject" Target="embeddings/oleObject12.bin"/><Relationship Id="rId33" Type="http://schemas.openxmlformats.org/officeDocument/2006/relationships/image" Target="media/image16.wmf"/><Relationship Id="rId32" Type="http://schemas.openxmlformats.org/officeDocument/2006/relationships/oleObject" Target="embeddings/oleObject11.bin"/><Relationship Id="rId31" Type="http://schemas.openxmlformats.org/officeDocument/2006/relationships/image" Target="media/image15.wmf"/><Relationship Id="rId30" Type="http://schemas.openxmlformats.org/officeDocument/2006/relationships/oleObject" Target="embeddings/oleObject10.bin"/><Relationship Id="rId3" Type="http://schemas.openxmlformats.org/officeDocument/2006/relationships/header" Target="header1.xml"/><Relationship Id="rId29" Type="http://schemas.openxmlformats.org/officeDocument/2006/relationships/image" Target="media/image14.wmf"/><Relationship Id="rId28" Type="http://schemas.openxmlformats.org/officeDocument/2006/relationships/oleObject" Target="embeddings/oleObject9.bin"/><Relationship Id="rId27" Type="http://schemas.openxmlformats.org/officeDocument/2006/relationships/image" Target="media/image13.wmf"/><Relationship Id="rId26" Type="http://schemas.openxmlformats.org/officeDocument/2006/relationships/oleObject" Target="embeddings/oleObject8.bin"/><Relationship Id="rId25" Type="http://schemas.openxmlformats.org/officeDocument/2006/relationships/image" Target="media/image12.wmf"/><Relationship Id="rId24" Type="http://schemas.openxmlformats.org/officeDocument/2006/relationships/oleObject" Target="embeddings/oleObject7.bin"/><Relationship Id="rId23" Type="http://schemas.openxmlformats.org/officeDocument/2006/relationships/image" Target="media/image11.wmf"/><Relationship Id="rId22" Type="http://schemas.openxmlformats.org/officeDocument/2006/relationships/oleObject" Target="embeddings/oleObject6.bin"/><Relationship Id="rId21" Type="http://schemas.openxmlformats.org/officeDocument/2006/relationships/image" Target="media/image10.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4.bin"/><Relationship Id="rId17" Type="http://schemas.openxmlformats.org/officeDocument/2006/relationships/image" Target="media/image8.wmf"/><Relationship Id="rId16" Type="http://schemas.openxmlformats.org/officeDocument/2006/relationships/oleObject" Target="embeddings/oleObject3.bin"/><Relationship Id="rId15" Type="http://schemas.openxmlformats.org/officeDocument/2006/relationships/image" Target="media/image7.wmf"/><Relationship Id="rId14" Type="http://schemas.openxmlformats.org/officeDocument/2006/relationships/image" Target="media/image6.wmf"/><Relationship Id="rId13" Type="http://schemas.openxmlformats.org/officeDocument/2006/relationships/oleObject" Target="embeddings/oleObject2.bin"/><Relationship Id="rId12" Type="http://schemas.openxmlformats.org/officeDocument/2006/relationships/image" Target="media/image5.wmf"/><Relationship Id="rId11" Type="http://schemas.openxmlformats.org/officeDocument/2006/relationships/oleObject" Target="embeddings/oleObject1.bin"/><Relationship Id="rId101" Type="http://schemas.openxmlformats.org/officeDocument/2006/relationships/fontTable" Target="fontTable.xml"/><Relationship Id="rId100" Type="http://schemas.openxmlformats.org/officeDocument/2006/relationships/customXml" Target="../customXml/item2.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C3B901-2F11-4234-BA1C-797FD130DD8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76</Pages>
  <Words>11578</Words>
  <Characters>12975</Characters>
  <Lines>377</Lines>
  <Paragraphs>106</Paragraphs>
  <TotalTime>0</TotalTime>
  <ScaleCrop>false</ScaleCrop>
  <LinksUpToDate>false</LinksUpToDate>
  <CharactersWithSpaces>13355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2020-11-30T07:28:00Z</dcterms:created>
  <dc:creator>AutoBVT</dc:creator>
  <cp:lastModifiedBy>WPS_1625883245</cp:lastModifiedBy>
  <cp:lastPrinted>2020-08-03T14:09:00Z</cp:lastPrinted>
  <dcterms:modified xsi:type="dcterms:W3CDTF">2025-05-07T08:03:27Z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EEA830EC3AD44BFAA2A13BCB1E09E015_13</vt:lpwstr>
  </property>
  <property fmtid="{D5CDD505-2E9C-101B-9397-08002B2CF9AE}" pid="4" name="KSOTemplateDocerSaveRecord">
    <vt:lpwstr>eyJoZGlkIjoiZGRjZGI2OTVlZDZlODM2M2Y3ZTUyZWM0MDEwYTg3MTIiLCJ1c2VySWQiOiIxMjMxNTE4Nzc5In0=</vt:lpwstr>
  </property>
</Properties>
</file>