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90" w:lineRule="exact"/>
        <w:rPr>
          <w:rFonts w:ascii="黑体" w:hAnsi="Times New Roman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Times New Roman" w:eastAsia="黑体" w:cs="Times New Roman"/>
          <w:sz w:val="32"/>
          <w:szCs w:val="32"/>
        </w:rPr>
        <w:t>附录2</w:t>
      </w:r>
    </w:p>
    <w:p>
      <w:pPr>
        <w:pStyle w:val="4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4"/>
        <w:spacing w:line="700" w:lineRule="exact"/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建设用地兼容性管理规定</w:t>
      </w:r>
    </w:p>
    <w:bookmarkEnd w:id="0"/>
    <w:p>
      <w:pPr>
        <w:pStyle w:val="4"/>
        <w:spacing w:line="60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pStyle w:val="4"/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本规定兼容性控制要求适用于鄂州市城市建设用地兼容性管理；经批准的相关规划对用地兼容性有明确要求的，按其规划要求执行。其他建设用地的规划兼容性可参照执行。</w:t>
      </w:r>
    </w:p>
    <w:p>
      <w:pPr>
        <w:pStyle w:val="4"/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规划用地兼容应维护法定规划的强制性内容，严格执行国家和地方相关法规和技术标准，坚持节约集约使用土地和公共利益优先，有利于规划管理的规范化和标准化。各类规划用地兼容性要求具体见下表：</w:t>
      </w:r>
    </w:p>
    <w:p>
      <w:pPr>
        <w:snapToGrid w:val="0"/>
        <w:spacing w:beforeLines="50" w:afterLines="50"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表1：居住用地兼容性规定表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22"/>
        <w:gridCol w:w="7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</w:rPr>
            </w:pP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居住用地(R)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部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分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兼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容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允许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/>
              </w:rPr>
              <w:t>文化活动用地(A22)，中小学用地(A33)，体育用地(A4)，社会福利用地(A6)，零售商业用地(B11)，其他公用设施营业网点用地(B49)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有条件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允许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/>
              </w:rPr>
              <w:t>行政办公用地(A1)，科研用地(A35)，医疗卫生用地（A5），餐饮用地(B13)，旅馆用地(B14)，商务用地(B2)，其他服务设施用地(B9)，道路与交通设施用地(S)，公用设施用地(U)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完全兼容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/>
              </w:rPr>
              <w:t>绿地与广场用地(G)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禁止兼容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/>
              </w:rPr>
              <w:t>批发市场用地(B12) ，工业用地(M)，物流仓储用地(W)</w:t>
            </w:r>
          </w:p>
        </w:tc>
      </w:tr>
    </w:tbl>
    <w:p>
      <w:pPr>
        <w:snapToGrid w:val="0"/>
        <w:spacing w:afterLines="120" w:line="500" w:lineRule="exact"/>
        <w:jc w:val="center"/>
        <w:rPr>
          <w:rFonts w:eastAsia="仿宋"/>
          <w:b/>
          <w:sz w:val="28"/>
          <w:szCs w:val="28"/>
        </w:rPr>
      </w:pPr>
      <w:r>
        <w:rPr>
          <w:rFonts w:eastAsia="仿宋"/>
          <w:sz w:val="24"/>
        </w:rPr>
        <w:br w:type="page"/>
      </w:r>
      <w:r>
        <w:rPr>
          <w:rFonts w:eastAsia="仿宋"/>
          <w:b/>
          <w:sz w:val="28"/>
          <w:szCs w:val="28"/>
        </w:rPr>
        <w:t>表</w:t>
      </w:r>
      <w:r>
        <w:rPr>
          <w:rFonts w:hint="eastAsia" w:eastAsia="仿宋"/>
          <w:b/>
          <w:sz w:val="28"/>
          <w:szCs w:val="28"/>
        </w:rPr>
        <w:t>2</w:t>
      </w:r>
      <w:r>
        <w:rPr>
          <w:rFonts w:eastAsia="仿宋"/>
          <w:b/>
          <w:sz w:val="28"/>
          <w:szCs w:val="28"/>
        </w:rPr>
        <w:t>：公共管理与公共服务设施用地、商业服务业设施用地兼容性规定表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29"/>
        <w:gridCol w:w="1372"/>
        <w:gridCol w:w="1457"/>
        <w:gridCol w:w="1286"/>
        <w:gridCol w:w="1201"/>
        <w:gridCol w:w="1789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tblHeader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行政办公</w:t>
            </w:r>
          </w:p>
          <w:p>
            <w:pPr>
              <w:widowControl/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用地(A1)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文化设施</w:t>
            </w:r>
          </w:p>
          <w:p>
            <w:pPr>
              <w:widowControl/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用地(A2)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高等院校用地(A31)、中等专业学校用地(A32)、特殊教育用地(A34)、科研用地(A35)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体育用地(A4)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零售商业用地(B11)、餐饮用地(B13)、旅馆用地(B14)、商务用地(B2)、娱乐用地(B31)、公用设施营业网点用地(B4)、其他服务设施用地(B9)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批发市场用地(B12)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b/>
                <w:sz w:val="19"/>
                <w:szCs w:val="21"/>
              </w:rPr>
            </w:pPr>
            <w:r>
              <w:rPr>
                <w:rFonts w:ascii="宋体" w:hAnsi="宋体"/>
                <w:b/>
                <w:sz w:val="19"/>
                <w:szCs w:val="21"/>
              </w:rPr>
              <w:t>部</w:t>
            </w:r>
          </w:p>
          <w:p>
            <w:pPr>
              <w:widowControl/>
              <w:spacing w:line="260" w:lineRule="exact"/>
              <w:rPr>
                <w:rFonts w:ascii="宋体" w:hAnsi="宋体"/>
                <w:b/>
                <w:sz w:val="19"/>
                <w:szCs w:val="21"/>
              </w:rPr>
            </w:pPr>
            <w:r>
              <w:rPr>
                <w:rFonts w:ascii="宋体" w:hAnsi="宋体"/>
                <w:b/>
                <w:sz w:val="19"/>
                <w:szCs w:val="21"/>
              </w:rPr>
              <w:t>分</w:t>
            </w:r>
          </w:p>
          <w:p>
            <w:pPr>
              <w:widowControl/>
              <w:spacing w:line="260" w:lineRule="exact"/>
              <w:rPr>
                <w:rFonts w:ascii="宋体" w:hAnsi="宋体"/>
                <w:b/>
                <w:sz w:val="19"/>
                <w:szCs w:val="21"/>
              </w:rPr>
            </w:pPr>
            <w:r>
              <w:rPr>
                <w:rFonts w:ascii="宋体" w:hAnsi="宋体"/>
                <w:b/>
                <w:sz w:val="19"/>
                <w:szCs w:val="21"/>
              </w:rPr>
              <w:t>兼</w:t>
            </w:r>
          </w:p>
          <w:p>
            <w:pPr>
              <w:widowControl/>
              <w:spacing w:line="260" w:lineRule="exact"/>
              <w:rPr>
                <w:rFonts w:ascii="宋体" w:hAnsi="宋体"/>
                <w:b/>
                <w:sz w:val="19"/>
                <w:szCs w:val="21"/>
              </w:rPr>
            </w:pPr>
            <w:r>
              <w:rPr>
                <w:rFonts w:ascii="宋体" w:hAnsi="宋体"/>
                <w:b/>
                <w:sz w:val="19"/>
                <w:szCs w:val="21"/>
              </w:rPr>
              <w:t>容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60" w:lineRule="exact"/>
              <w:rPr>
                <w:rFonts w:ascii="宋体" w:hAnsi="宋体"/>
                <w:b/>
                <w:sz w:val="19"/>
                <w:szCs w:val="21"/>
              </w:rPr>
            </w:pPr>
            <w:r>
              <w:rPr>
                <w:rFonts w:ascii="宋体" w:hAnsi="宋体"/>
                <w:b/>
                <w:sz w:val="19"/>
                <w:szCs w:val="21"/>
              </w:rPr>
              <w:t>允许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-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9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相互兼容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9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行政办公用地(A1)，文化设施用地(A2)，教育科研用地(A3)，体育用地(A4)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零售商业用地(B11)，餐饮用地(B13) ，旅馆用地(B14)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  <w:tblHeader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19"/>
                <w:szCs w:val="21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b/>
                <w:sz w:val="19"/>
                <w:szCs w:val="21"/>
              </w:rPr>
            </w:pPr>
            <w:r>
              <w:rPr>
                <w:rFonts w:ascii="宋体" w:hAnsi="宋体"/>
                <w:b/>
                <w:sz w:val="19"/>
                <w:szCs w:val="21"/>
              </w:rPr>
              <w:t>有条件允许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文化设施用地(A2)，科研用地(A35)，体育场馆用地(A41)，旅馆用地(B14)，商务用地(B2)，其他公用设施营业网点用地(B49)，道路与交通设施用地(S)，公用设施用地(U)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行政办公用地(A1)，体育用地(A4)，医院用地(A51)，社会福利用地(A6)，娱乐用地(B31)，其他公用设施营业网点用地(B49)，道路与交通设施用地(S)，公用设施用地(U) ，绿地与广场用地(G)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文化设施用地(A2)，体育用地(A4)，医疗卫生用地(A5)，社会福利用地(A6)，其他公用设施营业网点用地(B49)，道路与交通设施用地(S)，公用设施用地(U)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文化设施用地(A2)，康体用地(B32)，其他公用设施营业网点用地(B49)，道路与交通设施用地(S)，公用设施用地(U)，绿地与广场用地(G)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二类居住用地(R2)，医疗卫生用地(A5)，社会福利用地 (A6)，道路与交通设施用地(S)，公用设施用地(U)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行政办公用地(A1)，商务用地(B2)，娱乐康体用地(B3)，其他公用设施营业网点用地(B49)，一类工业用地(M1)，一类物流仓储用地(W1)，道路与交通设施用地(S)，公用设施用地(U)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tblHeader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sz w:val="19"/>
                <w:szCs w:val="21"/>
              </w:rPr>
            </w:pPr>
            <w:r>
              <w:rPr>
                <w:rFonts w:ascii="宋体" w:hAnsi="宋体"/>
                <w:b/>
                <w:sz w:val="19"/>
                <w:szCs w:val="21"/>
              </w:rPr>
              <w:t>完全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sz w:val="19"/>
                <w:szCs w:val="21"/>
              </w:rPr>
            </w:pPr>
            <w:r>
              <w:rPr>
                <w:rFonts w:ascii="宋体" w:hAnsi="宋体"/>
                <w:b/>
                <w:sz w:val="19"/>
                <w:szCs w:val="21"/>
              </w:rPr>
              <w:t>兼容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绿地与广场用地(G)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-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绿地与广场用地(G)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-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相互兼容，绿地与广场用地(G)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绿地与广场用地(G)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sz w:val="19"/>
                <w:szCs w:val="21"/>
              </w:rPr>
            </w:pPr>
            <w:r>
              <w:rPr>
                <w:rFonts w:ascii="宋体" w:hAnsi="宋体"/>
                <w:b/>
                <w:sz w:val="19"/>
                <w:szCs w:val="21"/>
              </w:rPr>
              <w:t>禁止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sz w:val="19"/>
                <w:szCs w:val="21"/>
              </w:rPr>
            </w:pPr>
            <w:r>
              <w:rPr>
                <w:rFonts w:ascii="宋体" w:hAnsi="宋体"/>
                <w:b/>
                <w:sz w:val="19"/>
                <w:szCs w:val="21"/>
              </w:rPr>
              <w:t>兼容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零售商业用地(B11)，批发市场用地(B12)，餐饮用地(B13)，娱乐康体用地(B3)，工业用地(M)，物流仓储用地(W)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零售商业用地(B11)，批发市场用地(B12)，餐饮用地(B13)，康体用地(B32)，工业用地(M)，物流仓储用地(W)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零售商业用地(B11)，批发市场用地(B12)，餐饮用地(B13)，娱乐康体用地(B3)，工业用地(M)，物流仓储用地(W)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零售商业用地(B11)，批发市场用地(B12)，餐饮用地(B13)，工业用地(M)，物流仓储用地(W)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批发市场用地(B12)，工业用地(M)，物流仓储用地(W)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二类三类工业用地(M2M3)，二类三类物流仓储用地(W2W3)</w:t>
            </w:r>
          </w:p>
        </w:tc>
      </w:tr>
    </w:tbl>
    <w:p>
      <w:pPr>
        <w:tabs>
          <w:tab w:val="left" w:pos="1418"/>
        </w:tabs>
        <w:spacing w:line="360" w:lineRule="exact"/>
        <w:ind w:firstLine="381" w:firstLineChars="200"/>
        <w:rPr>
          <w:rFonts w:ascii="宋体" w:hAnsi="宋体"/>
          <w:bCs/>
          <w:sz w:val="19"/>
          <w:szCs w:val="19"/>
        </w:rPr>
      </w:pPr>
      <w:r>
        <w:rPr>
          <w:rFonts w:ascii="宋体" w:hAnsi="宋体"/>
          <w:b/>
          <w:bCs/>
          <w:sz w:val="19"/>
          <w:szCs w:val="19"/>
        </w:rPr>
        <w:t>注：</w:t>
      </w:r>
      <w:r>
        <w:rPr>
          <w:rFonts w:ascii="宋体" w:hAnsi="宋体"/>
          <w:bCs/>
          <w:sz w:val="19"/>
          <w:szCs w:val="19"/>
        </w:rPr>
        <w:t>批发市场用地(B12)兼容公共管理与公共服务设施用地(A)、商业服务业设施用地(B)、工业用地(M)和仓储用地(W)的各项用地总和不得超过地块总用地规模的20%。</w:t>
      </w:r>
    </w:p>
    <w:p>
      <w:pPr>
        <w:snapToGrid w:val="0"/>
        <w:spacing w:afterLines="100" w:line="500" w:lineRule="exact"/>
        <w:ind w:left="1689" w:leftChars="1" w:hanging="1687" w:hangingChars="600"/>
        <w:jc w:val="center"/>
        <w:rPr>
          <w:rFonts w:eastAsia="仿宋"/>
          <w:b/>
          <w:sz w:val="28"/>
          <w:szCs w:val="28"/>
        </w:rPr>
      </w:pPr>
    </w:p>
    <w:p>
      <w:pPr>
        <w:snapToGrid w:val="0"/>
        <w:spacing w:afterLines="100" w:line="500" w:lineRule="exact"/>
        <w:ind w:left="1930" w:leftChars="1" w:hanging="1928" w:hangingChars="60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表3：工业用地、仓储用地兼容性规定表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93"/>
        <w:gridCol w:w="1970"/>
        <w:gridCol w:w="2037"/>
        <w:gridCol w:w="2022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一类工业用地(M1)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二类工业用地(M2)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三类工业用地(M3)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一类物流仓储用地(W1)、二类物流仓储用地(W2)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部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分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兼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容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允许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-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-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-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有条件允许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行政办公用地(A1)，一类物流仓储用地(W1)，道路与交通设施用地(S)，公用设施用地(U)，绿地与广场用地(G)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行政办公用地(A1)，一类二类物流仓储用地(W1W2)，道路与交通设施用地(S)，公用设施用地(U)，防护绿地(G2)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行政办公用地(A1)，一类二类物流仓储用地(W1W2)，道路与交通设施用地(S)，公用设施用地(U)，防护绿地(G2)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行政办公用地(A1)，一类二类工业用地(M1M2)，道路与交通设施用地(S)，公用设施用地(U)，防护绿地(G2)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完全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兼容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-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一类工业用地(M1)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一类二类工业用地(M1M2)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1" w:hRule="atLeast"/>
          <w:jc w:val="center"/>
        </w:trPr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禁止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兼容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居住用地(R)，商业用地(B1)，商务用地(B2)，娱乐康体用地(B3)，二类三类工业用地(M2M3)，二类三类物流仓储用地(W2W3)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居住用地(R)，除行政办公用地外的公共管理与公共服务设施用地(A2-A9)，商业用地(B1)，商务用地(B2)，娱乐康体用地(B3)，三类物流仓储用地(W3)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居住用地(R)，除行政办公用地外的公共管理与公共服务设施用地(A2-A9)，商业服务业设施用地(B)，三类物流仓储用地(W3)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居住用地(R)，除行政办公用地外的公共管理与公共服务设施用地(A2-A9)，商业用地(B1)，商务用地(B2)，娱乐康体用地(B3)，三类工业用地(M3)</w:t>
            </w:r>
          </w:p>
        </w:tc>
      </w:tr>
    </w:tbl>
    <w:p>
      <w:pPr>
        <w:tabs>
          <w:tab w:val="left" w:pos="1418"/>
        </w:tabs>
        <w:spacing w:beforeLines="50" w:line="40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注：（1）工业用地(M)兼容绿地与广场用地(G)不得超过总用地规模的20%；属于创意产业园区的工业用地，兼容科研用地(A35)和文化设施用地(A2)不得超过地块总用地规模的30%；（2）物流仓储用地(W)兼容绿地与广场用地(G)不得超过总用地规模的20%；属于物流园区的仓储用地，兼容公共管理与公共服务设施用地(A)、商业服务业设施用地(B)的各项用地总和不得超过地块总用地规模的30%。</w:t>
      </w:r>
    </w:p>
    <w:p>
      <w:pPr>
        <w:tabs>
          <w:tab w:val="left" w:pos="1418"/>
        </w:tabs>
        <w:spacing w:line="59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补充说明：</w:t>
      </w:r>
    </w:p>
    <w:p>
      <w:pPr>
        <w:tabs>
          <w:tab w:val="left" w:pos="1418"/>
        </w:tabs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（1）名词解释</w:t>
      </w:r>
    </w:p>
    <w:p>
      <w:pPr>
        <w:tabs>
          <w:tab w:val="left" w:pos="1418"/>
        </w:tabs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“部分兼容”是指在地块原规划用地性质上，混合其他单种性质用地的用地规模比例不超过30%，或混合其他两种及两种以上性质用地的用地规模比例之和不超过40%。表中有单独注释规定的，按其规定执行。被兼容的功能无法进行用地功能分区的，以上兼容比例按建筑规模计算。同一街坊内相邻的同性质用地，可合并考虑兼容比例。</w:t>
      </w:r>
    </w:p>
    <w:p>
      <w:pPr>
        <w:tabs>
          <w:tab w:val="left" w:pos="1418"/>
        </w:tabs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“完全兼容”是指在地块原规划用地性质上，混合其他一种或几种性质用地的用地规模比例可达100%。</w:t>
      </w:r>
    </w:p>
    <w:p>
      <w:pPr>
        <w:tabs>
          <w:tab w:val="left" w:pos="1418"/>
        </w:tabs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“禁止兼容”是指在地块原规划用地性质上不允许混合或转变为其他用地性质。</w:t>
      </w:r>
    </w:p>
    <w:p>
      <w:pPr>
        <w:tabs>
          <w:tab w:val="left" w:pos="1418"/>
        </w:tabs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（2）配套设施补充说明</w:t>
      </w:r>
    </w:p>
    <w:p>
      <w:pPr>
        <w:tabs>
          <w:tab w:val="left" w:pos="1418"/>
        </w:tabs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规划用地上建设相应的配套设施，不属于兼容。配套设施用地（或建筑）应按相关要求执行，主要是指：</w:t>
      </w:r>
    </w:p>
    <w:p>
      <w:pPr>
        <w:tabs>
          <w:tab w:val="left" w:pos="1418"/>
        </w:tabs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居住用地(R)配套建设的公共服务设施 (居住小区及小区级以下的教育、医疗卫生、文化体育、商业服务、金融邮电、社区服务、市政公用、行政管理等)标准按照居住区规划设计规范执行。</w:t>
      </w:r>
    </w:p>
    <w:p>
      <w:pPr>
        <w:tabs>
          <w:tab w:val="left" w:pos="1418"/>
        </w:tabs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工业用地(M)、物流仓储用地(W)、批发市场用地(B12)配套的行政办公及生活服务设施用地面积不得超过总用地面积的7%。</w:t>
      </w:r>
    </w:p>
    <w:p>
      <w:pPr>
        <w:tabs>
          <w:tab w:val="left" w:pos="1418"/>
        </w:tabs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公园绿地(G1) 、防护绿地(G2)的配套设施应符合公园、绿地等相关设计规范要求。</w:t>
      </w:r>
    </w:p>
    <w:p>
      <w:pPr>
        <w:tabs>
          <w:tab w:val="left" w:pos="1418"/>
        </w:tabs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（3）地下空间兼容</w:t>
      </w:r>
    </w:p>
    <w:p>
      <w:pPr>
        <w:tabs>
          <w:tab w:val="left" w:pos="1418"/>
        </w:tabs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地下兼容人防工程、交通、市政、商业、公共服务、工业仓储的，应符合地下空间开发利用管理和相关专项规划要求。地下空间禁止兼容住宅、社会福利设施、学校。</w:t>
      </w:r>
    </w:p>
    <w:p>
      <w:pPr>
        <w:tabs>
          <w:tab w:val="left" w:pos="1418"/>
        </w:tabs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公园绿地、防护绿地在征得园林部门同意的情况下，可以地下空间复合利用的方式有条件兼容公共汽车首末站(S41)、社会停车场用地（S42）、开闭所或配电房（U12）、雨水或污水泵站（U21）、垃圾转运站或公厕（U22）等，露出地面的建构筑物应实施立体绿化设计。</w:t>
      </w:r>
    </w:p>
    <w:p>
      <w:pPr>
        <w:tabs>
          <w:tab w:val="left" w:pos="1418"/>
        </w:tabs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（4）其他兼容性要求</w:t>
      </w:r>
    </w:p>
    <w:p>
      <w:pPr>
        <w:tabs>
          <w:tab w:val="left" w:pos="1418"/>
        </w:tabs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城市道路、铁路的下方地面空间，有条件允许兼容绿地、市政设施。</w:t>
      </w:r>
    </w:p>
    <w:p>
      <w:pPr>
        <w:tabs>
          <w:tab w:val="left" w:pos="1418"/>
        </w:tabs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（5）关于本规定的应用</w:t>
      </w:r>
    </w:p>
    <w:p>
      <w:pPr>
        <w:tabs>
          <w:tab w:val="left" w:pos="1418"/>
        </w:tabs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“完全兼容”以及“部分兼容”中“允许”的用地性质，在满足兼容性控制要求的相关条件后，可直接应用于规划管理。</w:t>
      </w:r>
    </w:p>
    <w:p>
      <w:pPr>
        <w:tabs>
          <w:tab w:val="left" w:pos="1418"/>
        </w:tabs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“部分兼容”中有“有条件允许”的用地性质，除满足兼容性控制要求的相关条件外，还须通过规划论证等进一步明确兼容功能的布局、规模、交通、环境及景观等方面具体要求，才能应用于规划管理。</w:t>
      </w:r>
    </w:p>
    <w:p>
      <w:pPr>
        <w:tabs>
          <w:tab w:val="left" w:pos="1418"/>
        </w:tabs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兼容性控制中未涉及的用地性质，其规划兼容的判断须单独进行规划论证。</w:t>
      </w:r>
    </w:p>
    <w:p>
      <w:pPr>
        <w:tabs>
          <w:tab w:val="left" w:pos="1418"/>
        </w:tabs>
        <w:spacing w:line="59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进行规划兼容的地块，应予以规范化的明确表达。在规划论证、规划设计条件中，应按用地或建筑规模递减顺序依次列明地块的用地性质构成，并对兼容后各类用地规模或建筑规模予以明确，有其他附加要求的，应在特殊要求中提出。</w:t>
      </w:r>
    </w:p>
    <w:p>
      <w:r>
        <w:rPr>
          <w:rFonts w:hint="eastAsia" w:ascii="仿宋_GB2312"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cwOGZmMTRkODQ5MWU4MTM1N2I3YzEyOTVhN2QifQ=="/>
  </w:docVars>
  <w:rsids>
    <w:rsidRoot w:val="00000000"/>
    <w:rsid w:val="0D49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2023-09-28T08:50:04Z</dcterms:created>
  <dc:creator>wangming</dc:creator>
  <cp:lastModifiedBy>远烟</cp:lastModifiedBy>
  <dcterms:modified xsi:type="dcterms:W3CDTF">2023-09-28T08:50:21Z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C303083A13924403B713FF9F4626A1CA_12</vt:lpwstr>
  </property>
</Properties>
</file>