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方正小标宋简体" w:hAnsi="方正小标宋简体" w:eastAsia="方正小标宋简体" w:cs="方正小标宋简体"/>
          <w:sz w:val="28"/>
          <w:szCs w:val="28"/>
          <w:lang w:eastAsia="zh-CN"/>
        </w:rPr>
      </w:pPr>
    </w:p>
    <w:p>
      <w:pPr>
        <w:snapToGrid w:val="0"/>
        <w:rPr>
          <w:rFonts w:hint="default" w:ascii="方正小标宋简体" w:hAnsi="方正小标宋简体" w:eastAsia="方正小标宋简体" w:cs="方正小标宋简体"/>
          <w:sz w:val="28"/>
          <w:szCs w:val="28"/>
          <w:lang w:val="en-US" w:eastAsia="zh-CN"/>
        </w:rPr>
      </w:pPr>
      <w:bookmarkStart w:id="0" w:name="_GoBack"/>
      <w:r>
        <w:rPr>
          <w:rFonts w:hint="eastAsia" w:ascii="方正小标宋简体" w:hAnsi="方正小标宋简体" w:eastAsia="方正小标宋简体" w:cs="方正小标宋简体"/>
          <w:sz w:val="28"/>
          <w:szCs w:val="28"/>
          <w:lang w:eastAsia="zh-CN"/>
        </w:rPr>
        <w:t>附件</w:t>
      </w:r>
      <w:r>
        <w:rPr>
          <w:rFonts w:hint="eastAsia" w:ascii="方正小标宋简体" w:hAnsi="方正小标宋简体" w:eastAsia="方正小标宋简体" w:cs="方正小标宋简体"/>
          <w:sz w:val="28"/>
          <w:szCs w:val="28"/>
          <w:lang w:val="en-US" w:eastAsia="zh-CN"/>
        </w:rPr>
        <w:t>2：</w:t>
      </w:r>
    </w:p>
    <w:p>
      <w:pPr>
        <w:snapToGrid w:val="0"/>
        <w:jc w:val="center"/>
        <w:rPr>
          <w:rFonts w:hint="eastAsia" w:ascii="方正小标宋简体" w:eastAsia="方正小标宋简体"/>
          <w:sz w:val="44"/>
          <w:szCs w:val="44"/>
        </w:rPr>
      </w:pPr>
    </w:p>
    <w:p>
      <w:pPr>
        <w:snapToGrid w:val="0"/>
        <w:jc w:val="center"/>
        <w:rPr>
          <w:rFonts w:ascii="方正小标宋简体" w:eastAsia="方正小标宋简体"/>
          <w:sz w:val="44"/>
          <w:szCs w:val="44"/>
        </w:rPr>
      </w:pPr>
      <w:r>
        <w:rPr>
          <w:rFonts w:hint="eastAsia" w:ascii="方正小标宋简体" w:eastAsia="方正小标宋简体"/>
          <w:sz w:val="44"/>
          <w:szCs w:val="44"/>
        </w:rPr>
        <w:t>关于加强鄂州市居住用地建设强度</w:t>
      </w:r>
    </w:p>
    <w:p>
      <w:pPr>
        <w:snapToGrid w:val="0"/>
        <w:jc w:val="center"/>
        <w:rPr>
          <w:rFonts w:ascii="方正小标宋简体" w:eastAsia="方正小标宋简体"/>
          <w:sz w:val="44"/>
          <w:szCs w:val="44"/>
        </w:rPr>
      </w:pPr>
      <w:r>
        <w:rPr>
          <w:rFonts w:hint="eastAsia" w:ascii="方正小标宋简体" w:eastAsia="方正小标宋简体"/>
          <w:sz w:val="44"/>
          <w:szCs w:val="44"/>
        </w:rPr>
        <w:t>管理的意见</w:t>
      </w:r>
    </w:p>
    <w:bookmarkEnd w:id="0"/>
    <w:p>
      <w:pPr>
        <w:rPr>
          <w:rFonts w:ascii="仿宋_GB2312" w:eastAsia="仿宋_GB2312"/>
          <w:sz w:val="32"/>
          <w:szCs w:val="32"/>
        </w:rPr>
      </w:pP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一、贯彻新发展理念，融入新发展格局，着力构建“两翼齐飞、城乡融合”发展格局，通过科学规范居住用地建设强度管理，降低人口密度，促进居住环境和住房品质提升，努力建设美好宜居新家园。</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二、针对鄂州市居住用地内城镇</w:t>
      </w:r>
      <w:r>
        <w:rPr>
          <w:rFonts w:ascii="仿宋_GB2312" w:eastAsia="仿宋_GB2312"/>
          <w:color w:val="auto"/>
          <w:sz w:val="32"/>
          <w:szCs w:val="32"/>
        </w:rPr>
        <w:t>住宅用地</w:t>
      </w:r>
      <w:r>
        <w:rPr>
          <w:rFonts w:hint="eastAsia" w:ascii="仿宋_GB2312" w:eastAsia="仿宋_GB2312"/>
          <w:color w:val="auto"/>
          <w:sz w:val="32"/>
          <w:szCs w:val="32"/>
        </w:rPr>
        <w:t>的规划设计与管理，重点对城镇</w:t>
      </w:r>
      <w:r>
        <w:rPr>
          <w:rFonts w:ascii="仿宋_GB2312" w:eastAsia="仿宋_GB2312"/>
          <w:color w:val="auto"/>
          <w:sz w:val="32"/>
          <w:szCs w:val="32"/>
        </w:rPr>
        <w:t>住宅用地</w:t>
      </w:r>
      <w:r>
        <w:rPr>
          <w:rFonts w:hint="eastAsia" w:ascii="仿宋_GB2312" w:eastAsia="仿宋_GB2312"/>
          <w:color w:val="auto"/>
          <w:sz w:val="32"/>
          <w:szCs w:val="32"/>
        </w:rPr>
        <w:t>建设强度中的容积率、建筑高度指标进行管控。</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三、针对不同地区，实施分区分级的差别化管理，塑造差异化城市风貌。综合考虑城市风貌特色、规划区位、交通条件、产业发展和市政基础设施的综合承载能力，形成中心城区、新城、乡镇居住</w:t>
      </w:r>
      <w:r>
        <w:rPr>
          <w:rFonts w:ascii="仿宋_GB2312" w:eastAsia="仿宋_GB2312"/>
          <w:color w:val="auto"/>
          <w:sz w:val="32"/>
          <w:szCs w:val="32"/>
        </w:rPr>
        <w:t>用地</w:t>
      </w:r>
      <w:r>
        <w:rPr>
          <w:rFonts w:hint="eastAsia" w:ascii="仿宋_GB2312" w:eastAsia="仿宋_GB2312"/>
          <w:color w:val="auto"/>
          <w:sz w:val="32"/>
          <w:szCs w:val="32"/>
        </w:rPr>
        <w:t>建设强度梯度递减的空间格局。</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四、实行容积率的分区分级管控，严格控制居住</w:t>
      </w:r>
      <w:r>
        <w:rPr>
          <w:rFonts w:ascii="仿宋_GB2312" w:eastAsia="仿宋_GB2312"/>
          <w:color w:val="auto"/>
          <w:sz w:val="32"/>
          <w:szCs w:val="32"/>
        </w:rPr>
        <w:t>用地</w:t>
      </w:r>
      <w:r>
        <w:rPr>
          <w:rFonts w:hint="eastAsia" w:ascii="仿宋_GB2312" w:eastAsia="仿宋_GB2312"/>
          <w:color w:val="auto"/>
          <w:sz w:val="32"/>
          <w:szCs w:val="32"/>
        </w:rPr>
        <w:t xml:space="preserve">最高容积率，设置中心城区、新城、乡镇及其各建设强度分区的基准容积率及最高容积率指标。 </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（一）中心城区居住</w:t>
      </w:r>
      <w:r>
        <w:rPr>
          <w:rFonts w:ascii="仿宋_GB2312" w:eastAsia="仿宋_GB2312"/>
          <w:color w:val="auto"/>
          <w:sz w:val="32"/>
          <w:szCs w:val="32"/>
        </w:rPr>
        <w:t>用地</w:t>
      </w:r>
      <w:r>
        <w:rPr>
          <w:rFonts w:hint="eastAsia" w:ascii="仿宋_GB2312" w:eastAsia="仿宋_GB2312"/>
          <w:color w:val="auto"/>
          <w:sz w:val="32"/>
          <w:szCs w:val="32"/>
        </w:rPr>
        <w:t>建设强度分区为四个等级。其中</w:t>
      </w:r>
      <w:r>
        <w:rPr>
          <w:rFonts w:ascii="仿宋_GB2312" w:eastAsia="仿宋_GB2312"/>
          <w:color w:val="auto"/>
          <w:sz w:val="32"/>
          <w:szCs w:val="32"/>
        </w:rPr>
        <w:t>，</w:t>
      </w:r>
      <w:r>
        <w:rPr>
          <w:rFonts w:hint="eastAsia" w:ascii="仿宋_GB2312" w:eastAsia="仿宋_GB2312"/>
          <w:color w:val="auto"/>
          <w:sz w:val="32"/>
          <w:szCs w:val="32"/>
        </w:rPr>
        <w:t>强度一区最高容积率为2.</w:t>
      </w:r>
      <w:r>
        <w:rPr>
          <w:rFonts w:ascii="仿宋_GB2312" w:eastAsia="仿宋_GB2312"/>
          <w:color w:val="auto"/>
          <w:sz w:val="32"/>
          <w:szCs w:val="32"/>
        </w:rPr>
        <w:t>9</w:t>
      </w:r>
      <w:r>
        <w:rPr>
          <w:rFonts w:hint="eastAsia" w:ascii="仿宋_GB2312" w:eastAsia="仿宋_GB2312"/>
          <w:color w:val="auto"/>
          <w:sz w:val="32"/>
          <w:szCs w:val="32"/>
        </w:rPr>
        <w:t>，强度二区最高容积率为2.</w:t>
      </w:r>
      <w:r>
        <w:rPr>
          <w:rFonts w:ascii="仿宋_GB2312" w:eastAsia="仿宋_GB2312"/>
          <w:color w:val="auto"/>
          <w:sz w:val="32"/>
          <w:szCs w:val="32"/>
        </w:rPr>
        <w:t>4</w:t>
      </w:r>
      <w:r>
        <w:rPr>
          <w:rFonts w:hint="eastAsia" w:ascii="仿宋_GB2312" w:eastAsia="仿宋_GB2312"/>
          <w:color w:val="auto"/>
          <w:sz w:val="32"/>
          <w:szCs w:val="32"/>
        </w:rPr>
        <w:t>，强度三区最高容积率为1.</w:t>
      </w:r>
      <w:r>
        <w:rPr>
          <w:rFonts w:ascii="仿宋_GB2312" w:eastAsia="仿宋_GB2312"/>
          <w:color w:val="auto"/>
          <w:sz w:val="32"/>
          <w:szCs w:val="32"/>
        </w:rPr>
        <w:t>8</w:t>
      </w:r>
      <w:r>
        <w:rPr>
          <w:rFonts w:hint="eastAsia" w:ascii="仿宋_GB2312" w:eastAsia="仿宋_GB2312"/>
          <w:color w:val="auto"/>
          <w:sz w:val="32"/>
          <w:szCs w:val="32"/>
        </w:rPr>
        <w:t>，强度四区最高容积率为1.</w:t>
      </w:r>
      <w:r>
        <w:rPr>
          <w:rFonts w:ascii="仿宋_GB2312" w:eastAsia="仿宋_GB2312"/>
          <w:color w:val="auto"/>
          <w:sz w:val="32"/>
          <w:szCs w:val="32"/>
        </w:rPr>
        <w:t>6</w:t>
      </w:r>
      <w:r>
        <w:rPr>
          <w:rFonts w:hint="eastAsia" w:ascii="仿宋_GB2312" w:eastAsia="仿宋_GB2312"/>
          <w:color w:val="auto"/>
          <w:sz w:val="32"/>
          <w:szCs w:val="32"/>
        </w:rPr>
        <w:t>。地块额定容积率控制指标在控制性详细规划中确定。</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（二）新城、乡镇应在控制性详细规划中，确定居住</w:t>
      </w:r>
      <w:r>
        <w:rPr>
          <w:rFonts w:ascii="仿宋_GB2312" w:eastAsia="仿宋_GB2312"/>
          <w:color w:val="auto"/>
          <w:sz w:val="32"/>
          <w:szCs w:val="32"/>
        </w:rPr>
        <w:t>用地</w:t>
      </w:r>
      <w:r>
        <w:rPr>
          <w:rFonts w:hint="eastAsia" w:ascii="仿宋_GB2312" w:eastAsia="仿宋_GB2312"/>
          <w:color w:val="auto"/>
          <w:sz w:val="32"/>
          <w:szCs w:val="32"/>
        </w:rPr>
        <w:t>建设强度分区，明确不同建设强度分区的基准容积率控制指标。其中，新城居住</w:t>
      </w:r>
      <w:r>
        <w:rPr>
          <w:rFonts w:ascii="仿宋_GB2312" w:eastAsia="仿宋_GB2312"/>
          <w:color w:val="auto"/>
          <w:sz w:val="32"/>
          <w:szCs w:val="32"/>
        </w:rPr>
        <w:t>用地</w:t>
      </w:r>
      <w:r>
        <w:rPr>
          <w:rFonts w:hint="eastAsia" w:ascii="仿宋_GB2312" w:eastAsia="仿宋_GB2312"/>
          <w:color w:val="auto"/>
          <w:sz w:val="32"/>
          <w:szCs w:val="32"/>
        </w:rPr>
        <w:t>最高容积率不得大于2.5，太和镇和花湖镇居住</w:t>
      </w:r>
      <w:r>
        <w:rPr>
          <w:rFonts w:ascii="仿宋_GB2312" w:eastAsia="仿宋_GB2312"/>
          <w:color w:val="auto"/>
          <w:sz w:val="32"/>
          <w:szCs w:val="32"/>
        </w:rPr>
        <w:t>用地</w:t>
      </w:r>
      <w:r>
        <w:rPr>
          <w:rFonts w:hint="eastAsia" w:ascii="仿宋_GB2312" w:eastAsia="仿宋_GB2312"/>
          <w:color w:val="auto"/>
          <w:sz w:val="32"/>
          <w:szCs w:val="32"/>
        </w:rPr>
        <w:t>最高容积率不得大于2.</w:t>
      </w:r>
      <w:r>
        <w:rPr>
          <w:rFonts w:ascii="仿宋_GB2312" w:eastAsia="仿宋_GB2312"/>
          <w:color w:val="auto"/>
          <w:sz w:val="32"/>
          <w:szCs w:val="32"/>
        </w:rPr>
        <w:t>0，</w:t>
      </w:r>
      <w:r>
        <w:rPr>
          <w:rFonts w:hint="eastAsia" w:ascii="仿宋_GB2312" w:eastAsia="仿宋_GB2312"/>
          <w:color w:val="auto"/>
          <w:sz w:val="32"/>
          <w:szCs w:val="32"/>
        </w:rPr>
        <w:t>其他乡镇居住</w:t>
      </w:r>
      <w:r>
        <w:rPr>
          <w:rFonts w:ascii="仿宋_GB2312" w:eastAsia="仿宋_GB2312"/>
          <w:color w:val="auto"/>
          <w:sz w:val="32"/>
          <w:szCs w:val="32"/>
        </w:rPr>
        <w:t>用地</w:t>
      </w:r>
      <w:r>
        <w:rPr>
          <w:rFonts w:hint="eastAsia" w:ascii="仿宋_GB2312" w:eastAsia="仿宋_GB2312"/>
          <w:color w:val="auto"/>
          <w:sz w:val="32"/>
          <w:szCs w:val="32"/>
        </w:rPr>
        <w:t>最高容积率不得大于1.6。地块额定容积率控制指标在控制性详细规划中确定。</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五、严格控制新建住宅建筑高度，实现建筑高度的分区分级管控。中心城区、新城住宅建筑高度原则上不超过80米，太和镇和花湖镇住宅建筑高度原则上不超过54米，其他乡镇住宅建筑高度原则上不超过36米。</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六、突出城市重点区域空间风貌的特色化。城市重点功能区相关规定或规划对居住</w:t>
      </w:r>
      <w:r>
        <w:rPr>
          <w:rFonts w:ascii="仿宋_GB2312" w:eastAsia="仿宋_GB2312"/>
          <w:color w:val="auto"/>
          <w:sz w:val="32"/>
          <w:szCs w:val="32"/>
        </w:rPr>
        <w:t>用地</w:t>
      </w:r>
      <w:r>
        <w:rPr>
          <w:rFonts w:hint="eastAsia" w:ascii="仿宋_GB2312" w:eastAsia="仿宋_GB2312"/>
          <w:color w:val="auto"/>
          <w:sz w:val="32"/>
          <w:szCs w:val="32"/>
        </w:rPr>
        <w:t>容积率、住宅建筑高度等指标有明确要求的，应按照相应要求执行。</w:t>
      </w:r>
    </w:p>
    <w:p>
      <w:pPr>
        <w:keepNext w:val="0"/>
        <w:keepLines w:val="0"/>
        <w:pageBreakBefore w:val="0"/>
        <w:kinsoku/>
        <w:overflowPunct/>
        <w:topLinePunct w:val="0"/>
        <w:autoSpaceDE/>
        <w:autoSpaceDN/>
        <w:bidi w:val="0"/>
        <w:adjustRightInd/>
        <w:snapToGrid/>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rPr>
        <w:t>七、严格落实对花湖机场净空保护区域、历史文化风貌街区、生态管控区的控制要求，相关规定或规划对居住</w:t>
      </w:r>
      <w:r>
        <w:rPr>
          <w:rFonts w:ascii="仿宋_GB2312" w:eastAsia="仿宋_GB2312"/>
          <w:color w:val="auto"/>
          <w:sz w:val="32"/>
          <w:szCs w:val="32"/>
        </w:rPr>
        <w:t>用地</w:t>
      </w:r>
      <w:r>
        <w:rPr>
          <w:rFonts w:hint="eastAsia" w:ascii="仿宋_GB2312" w:eastAsia="仿宋_GB2312"/>
          <w:color w:val="auto"/>
          <w:sz w:val="32"/>
          <w:szCs w:val="32"/>
        </w:rPr>
        <w:t>容积率、住宅建筑高度等指标有明确要求的，应按照相应要求执行。</w:t>
      </w:r>
    </w:p>
    <w:p>
      <w:pPr>
        <w:pStyle w:val="7"/>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ind w:firstLine="640" w:firstLineChars="200"/>
        <w:jc w:val="both"/>
        <w:textAlignment w:val="auto"/>
        <w:rPr>
          <w:rFonts w:hint="eastAsia" w:ascii="仿宋_GB2312" w:eastAsia="仿宋_GB2312" w:cstheme="minorBidi"/>
          <w:color w:val="auto"/>
          <w:kern w:val="2"/>
          <w:sz w:val="32"/>
          <w:szCs w:val="32"/>
        </w:rPr>
      </w:pPr>
      <w:r>
        <w:rPr>
          <w:rFonts w:hint="eastAsia" w:ascii="仿宋_GB2312" w:eastAsia="仿宋_GB2312" w:cstheme="minorBidi"/>
          <w:color w:val="auto"/>
          <w:kern w:val="2"/>
          <w:sz w:val="32"/>
          <w:szCs w:val="32"/>
          <w:lang w:eastAsia="zh-CN"/>
        </w:rPr>
        <w:t>八</w:t>
      </w:r>
      <w:r>
        <w:rPr>
          <w:rFonts w:hint="eastAsia" w:ascii="仿宋_GB2312" w:eastAsia="仿宋_GB2312" w:cstheme="minorBidi"/>
          <w:color w:val="auto"/>
          <w:kern w:val="2"/>
          <w:sz w:val="32"/>
          <w:szCs w:val="32"/>
        </w:rPr>
        <w:t>、对于历史遗留问题的居住</w:t>
      </w:r>
      <w:r>
        <w:rPr>
          <w:rFonts w:ascii="仿宋_GB2312" w:eastAsia="仿宋_GB2312" w:cstheme="minorBidi"/>
          <w:color w:val="auto"/>
          <w:kern w:val="2"/>
          <w:sz w:val="32"/>
          <w:szCs w:val="32"/>
        </w:rPr>
        <w:t>用地</w:t>
      </w:r>
      <w:r>
        <w:rPr>
          <w:rFonts w:hint="eastAsia" w:ascii="仿宋_GB2312" w:eastAsia="仿宋_GB2312" w:cstheme="minorBidi"/>
          <w:color w:val="auto"/>
          <w:kern w:val="2"/>
          <w:sz w:val="32"/>
          <w:szCs w:val="32"/>
        </w:rPr>
        <w:t>强度指标，属地政府根据地区发展方向、控制性详细规划实施情况及土地使用权人诉求等向上级政府书面提出</w:t>
      </w:r>
      <w:r>
        <w:rPr>
          <w:rFonts w:hint="eastAsia" w:ascii="仿宋_GB2312" w:eastAsia="仿宋_GB2312" w:cstheme="minorBidi"/>
          <w:color w:val="auto"/>
          <w:kern w:val="2"/>
          <w:sz w:val="32"/>
          <w:szCs w:val="32"/>
          <w:lang w:eastAsia="zh-CN"/>
        </w:rPr>
        <w:t>调整</w:t>
      </w:r>
      <w:r>
        <w:rPr>
          <w:rFonts w:hint="eastAsia" w:ascii="仿宋_GB2312" w:eastAsia="仿宋_GB2312" w:cstheme="minorBidi"/>
          <w:color w:val="auto"/>
          <w:kern w:val="2"/>
          <w:sz w:val="32"/>
          <w:szCs w:val="32"/>
        </w:rPr>
        <w:t>申请，</w:t>
      </w:r>
      <w:r>
        <w:rPr>
          <w:rFonts w:hint="eastAsia" w:ascii="仿宋_GB2312" w:eastAsia="仿宋_GB2312" w:cstheme="minorBidi"/>
          <w:color w:val="auto"/>
          <w:kern w:val="2"/>
          <w:sz w:val="32"/>
          <w:szCs w:val="32"/>
          <w:lang w:eastAsia="zh-CN"/>
        </w:rPr>
        <w:t>经同意后按规定</w:t>
      </w:r>
      <w:r>
        <w:rPr>
          <w:rFonts w:hint="eastAsia" w:ascii="仿宋_GB2312" w:eastAsia="仿宋_GB2312" w:cstheme="minorBidi"/>
          <w:color w:val="auto"/>
          <w:kern w:val="2"/>
          <w:sz w:val="32"/>
          <w:szCs w:val="32"/>
        </w:rPr>
        <w:t>调整。</w:t>
      </w:r>
    </w:p>
    <w:p>
      <w:pPr>
        <w:pStyle w:val="7"/>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ind w:firstLine="640" w:firstLineChars="200"/>
        <w:jc w:val="both"/>
        <w:textAlignment w:val="auto"/>
        <w:rPr>
          <w:rFonts w:ascii="仿宋_GB2312" w:eastAsia="仿宋_GB2312" w:cstheme="minorBidi"/>
          <w:color w:val="auto"/>
          <w:kern w:val="2"/>
          <w:sz w:val="32"/>
          <w:szCs w:val="32"/>
        </w:rPr>
      </w:pPr>
      <w:r>
        <w:rPr>
          <w:rFonts w:hint="eastAsia" w:ascii="仿宋_GB2312" w:eastAsia="仿宋_GB2312" w:cstheme="minorBidi"/>
          <w:color w:val="auto"/>
          <w:kern w:val="2"/>
          <w:sz w:val="32"/>
          <w:szCs w:val="32"/>
          <w:lang w:eastAsia="zh-CN"/>
        </w:rPr>
        <w:t>九</w:t>
      </w:r>
      <w:r>
        <w:rPr>
          <w:rFonts w:hint="eastAsia" w:ascii="仿宋_GB2312" w:eastAsia="仿宋_GB2312" w:cstheme="minorBidi"/>
          <w:color w:val="auto"/>
          <w:kern w:val="2"/>
          <w:sz w:val="32"/>
          <w:szCs w:val="32"/>
        </w:rPr>
        <w:t>、新编或修编控制性详细规划相关指标应符合本意见，已编制控制性详细规划相关指标与本意见不符的按照本意见</w:t>
      </w:r>
      <w:r>
        <w:rPr>
          <w:rFonts w:hint="eastAsia" w:ascii="仿宋_GB2312" w:eastAsia="仿宋_GB2312" w:cstheme="minorBidi"/>
          <w:color w:val="auto"/>
          <w:kern w:val="2"/>
          <w:sz w:val="32"/>
          <w:szCs w:val="32"/>
          <w:lang w:eastAsia="zh-CN"/>
        </w:rPr>
        <w:t>实施</w:t>
      </w:r>
      <w:r>
        <w:rPr>
          <w:rFonts w:hint="eastAsia" w:ascii="仿宋_GB2312" w:eastAsia="仿宋_GB2312" w:cstheme="minorBidi"/>
          <w:color w:val="auto"/>
          <w:kern w:val="2"/>
          <w:sz w:val="32"/>
          <w:szCs w:val="32"/>
        </w:rPr>
        <w:t>。</w:t>
      </w:r>
    </w:p>
    <w:p>
      <w:pPr>
        <w:pStyle w:val="7"/>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ind w:firstLine="640" w:firstLineChars="200"/>
        <w:jc w:val="both"/>
        <w:textAlignment w:val="auto"/>
        <w:rPr>
          <w:rFonts w:ascii="仿宋_GB2312" w:eastAsia="仿宋_GB2312" w:cstheme="minorBidi"/>
          <w:color w:val="auto"/>
          <w:kern w:val="2"/>
          <w:sz w:val="32"/>
          <w:szCs w:val="32"/>
        </w:rPr>
      </w:pPr>
      <w:r>
        <w:rPr>
          <w:rFonts w:hint="eastAsia" w:ascii="仿宋_GB2312" w:eastAsia="仿宋_GB2312" w:cstheme="minorBidi"/>
          <w:color w:val="auto"/>
          <w:kern w:val="2"/>
          <w:sz w:val="32"/>
          <w:szCs w:val="32"/>
        </w:rPr>
        <w:t>十、建筑高度控制指标自本意见印发之日起施行，在本意见施行前已取得土地出让合同的项目，按本意见施行确有困难的，由市、区国土空间委员会确定可按照原要求执行。新城范围内居住</w:t>
      </w:r>
      <w:r>
        <w:rPr>
          <w:rFonts w:ascii="仿宋_GB2312" w:eastAsia="仿宋_GB2312" w:cstheme="minorBidi"/>
          <w:color w:val="auto"/>
          <w:kern w:val="2"/>
          <w:sz w:val="32"/>
          <w:szCs w:val="32"/>
        </w:rPr>
        <w:t>用地</w:t>
      </w:r>
      <w:r>
        <w:rPr>
          <w:rFonts w:hint="eastAsia" w:ascii="仿宋_GB2312" w:eastAsia="仿宋_GB2312" w:cstheme="minorBidi"/>
          <w:color w:val="auto"/>
          <w:kern w:val="2"/>
          <w:sz w:val="32"/>
          <w:szCs w:val="32"/>
        </w:rPr>
        <w:t>按照其规划管控相关要求执行。</w:t>
      </w:r>
    </w:p>
    <w:p>
      <w:pPr>
        <w:widowControl/>
        <w:tabs>
          <w:tab w:val="center" w:pos="4153"/>
        </w:tabs>
        <w:jc w:val="left"/>
        <w:rPr>
          <w:rFonts w:ascii="仿宋_GB2312" w:eastAsia="仿宋_GB2312"/>
          <w:sz w:val="32"/>
          <w:szCs w:val="32"/>
        </w:rPr>
      </w:pPr>
      <w:r>
        <w:rPr>
          <w:rFonts w:ascii="仿宋_GB2312" w:eastAsia="仿宋_GB2312"/>
          <w:sz w:val="32"/>
          <w:szCs w:val="32"/>
        </w:rPr>
        <w:br w:type="page"/>
      </w:r>
      <w:r>
        <w:rPr>
          <w:rFonts w:ascii="仿宋_GB2312" w:eastAsia="仿宋_GB2312"/>
          <w:sz w:val="32"/>
          <w:szCs w:val="32"/>
        </w:rPr>
        <w:tab/>
      </w:r>
    </w:p>
    <w:p>
      <w:pPr>
        <w:spacing w:line="560" w:lineRule="exact"/>
        <w:rPr>
          <w:rFonts w:ascii="黑体" w:hAnsi="黑体" w:eastAsia="黑体" w:cs="黑体"/>
          <w:bCs/>
          <w:kern w:val="0"/>
          <w:sz w:val="32"/>
          <w:szCs w:val="32"/>
        </w:rPr>
      </w:pPr>
      <w:r>
        <w:rPr>
          <w:rFonts w:hint="eastAsia" w:ascii="黑体" w:hAnsi="黑体" w:eastAsia="黑体" w:cs="黑体"/>
          <w:bCs/>
          <w:kern w:val="0"/>
          <w:sz w:val="32"/>
          <w:szCs w:val="32"/>
        </w:rPr>
        <w:t>附录</w:t>
      </w:r>
    </w:p>
    <w:p>
      <w:pPr>
        <w:jc w:val="center"/>
        <w:rPr>
          <w:rFonts w:ascii="仿宋_GB2312" w:eastAsia="仿宋_GB2312"/>
          <w:b/>
          <w:sz w:val="36"/>
          <w:szCs w:val="32"/>
        </w:rPr>
      </w:pPr>
      <w:r>
        <w:rPr>
          <w:rFonts w:hint="eastAsia" w:ascii="仿宋_GB2312" w:eastAsia="仿宋_GB2312"/>
          <w:b/>
          <w:sz w:val="36"/>
          <w:szCs w:val="32"/>
        </w:rPr>
        <w:t>名词解释</w:t>
      </w:r>
    </w:p>
    <w:p>
      <w:pPr>
        <w:spacing w:line="360" w:lineRule="auto"/>
        <w:ind w:firstLine="643" w:firstLineChars="200"/>
        <w:rPr>
          <w:rFonts w:ascii="仿宋_GB2312" w:eastAsia="仿宋_GB2312"/>
          <w:sz w:val="32"/>
          <w:szCs w:val="32"/>
        </w:rPr>
      </w:pPr>
      <w:r>
        <w:rPr>
          <w:rFonts w:hint="eastAsia" w:ascii="仿宋_GB2312" w:eastAsia="仿宋_GB2312"/>
          <w:b/>
          <w:sz w:val="32"/>
          <w:szCs w:val="32"/>
        </w:rPr>
        <w:t>1、新城：</w:t>
      </w:r>
      <w:r>
        <w:rPr>
          <w:rFonts w:hint="eastAsia" w:ascii="仿宋_GB2312" w:eastAsia="仿宋_GB2312"/>
          <w:sz w:val="32"/>
          <w:szCs w:val="32"/>
        </w:rPr>
        <w:t>是</w:t>
      </w:r>
      <w:r>
        <w:rPr>
          <w:rFonts w:ascii="仿宋_GB2312" w:eastAsia="仿宋_GB2312"/>
          <w:sz w:val="32"/>
          <w:szCs w:val="32"/>
        </w:rPr>
        <w:t>指</w:t>
      </w:r>
      <w:r>
        <w:rPr>
          <w:rFonts w:hint="eastAsia" w:ascii="仿宋_GB2312" w:eastAsia="仿宋_GB2312"/>
          <w:sz w:val="32"/>
          <w:szCs w:val="32"/>
        </w:rPr>
        <w:t>武汉新城范围鄂州境内的武汉新城葛华片区、中心片区、红莲湖片区、梧桐湖片区（即</w:t>
      </w:r>
      <w:r>
        <w:rPr>
          <w:rFonts w:ascii="仿宋_GB2312" w:eastAsia="仿宋_GB2312"/>
          <w:sz w:val="32"/>
          <w:szCs w:val="32"/>
        </w:rPr>
        <w:t>鄂州市国土空间总体规划</w:t>
      </w:r>
      <w:r>
        <w:rPr>
          <w:rFonts w:hint="eastAsia" w:ascii="仿宋_GB2312" w:eastAsia="仿宋_GB2312"/>
          <w:sz w:val="32"/>
          <w:szCs w:val="32"/>
        </w:rPr>
        <w:t>市域</w:t>
      </w:r>
      <w:r>
        <w:rPr>
          <w:rFonts w:ascii="仿宋_GB2312" w:eastAsia="仿宋_GB2312"/>
          <w:sz w:val="32"/>
          <w:szCs w:val="32"/>
        </w:rPr>
        <w:t>城镇</w:t>
      </w:r>
      <w:r>
        <w:rPr>
          <w:rFonts w:hint="eastAsia" w:ascii="仿宋_GB2312" w:eastAsia="仿宋_GB2312"/>
          <w:sz w:val="32"/>
          <w:szCs w:val="32"/>
        </w:rPr>
        <w:t>体系</w:t>
      </w:r>
      <w:r>
        <w:rPr>
          <w:rFonts w:ascii="仿宋_GB2312" w:eastAsia="仿宋_GB2312"/>
          <w:sz w:val="32"/>
          <w:szCs w:val="32"/>
        </w:rPr>
        <w:t>中的</w:t>
      </w:r>
      <w:r>
        <w:rPr>
          <w:rFonts w:hint="eastAsia" w:ascii="仿宋_GB2312" w:eastAsia="仿宋_GB2312"/>
          <w:sz w:val="32"/>
          <w:szCs w:val="32"/>
        </w:rPr>
        <w:t>武汉新城葛华片区、</w:t>
      </w:r>
      <w:r>
        <w:rPr>
          <w:rFonts w:ascii="仿宋_GB2312" w:eastAsia="仿宋_GB2312"/>
          <w:sz w:val="32"/>
          <w:szCs w:val="32"/>
        </w:rPr>
        <w:t>武汉</w:t>
      </w:r>
      <w:r>
        <w:rPr>
          <w:rFonts w:hint="eastAsia" w:ascii="仿宋_GB2312" w:eastAsia="仿宋_GB2312"/>
          <w:sz w:val="32"/>
          <w:szCs w:val="32"/>
        </w:rPr>
        <w:t>新城</w:t>
      </w:r>
      <w:r>
        <w:rPr>
          <w:rFonts w:ascii="仿宋_GB2312" w:eastAsia="仿宋_GB2312"/>
          <w:sz w:val="32"/>
          <w:szCs w:val="32"/>
        </w:rPr>
        <w:t>红莲湖</w:t>
      </w:r>
      <w:r>
        <w:rPr>
          <w:rFonts w:hint="eastAsia" w:ascii="仿宋_GB2312" w:eastAsia="仿宋_GB2312"/>
          <w:sz w:val="32"/>
          <w:szCs w:val="32"/>
        </w:rPr>
        <w:t>-梧桐湖</w:t>
      </w:r>
      <w:r>
        <w:rPr>
          <w:rFonts w:ascii="仿宋_GB2312" w:eastAsia="仿宋_GB2312"/>
          <w:sz w:val="32"/>
          <w:szCs w:val="32"/>
        </w:rPr>
        <w:t>片区</w:t>
      </w:r>
      <w:r>
        <w:rPr>
          <w:rFonts w:hint="eastAsia" w:ascii="仿宋_GB2312" w:eastAsia="仿宋_GB2312"/>
          <w:sz w:val="32"/>
          <w:szCs w:val="32"/>
        </w:rPr>
        <w:t>）。</w:t>
      </w:r>
    </w:p>
    <w:p>
      <w:pPr>
        <w:spacing w:line="360" w:lineRule="auto"/>
        <w:ind w:firstLine="643" w:firstLineChars="200"/>
        <w:rPr>
          <w:rFonts w:ascii="仿宋_GB2312" w:eastAsia="仿宋_GB2312"/>
          <w:sz w:val="32"/>
          <w:szCs w:val="32"/>
        </w:rPr>
      </w:pPr>
      <w:r>
        <w:rPr>
          <w:rFonts w:hint="eastAsia" w:ascii="仿宋_GB2312" w:eastAsia="仿宋_GB2312"/>
          <w:b/>
          <w:sz w:val="32"/>
          <w:szCs w:val="32"/>
        </w:rPr>
        <w:t>2、基准容积率：</w:t>
      </w:r>
      <w:r>
        <w:rPr>
          <w:rFonts w:hint="eastAsia" w:ascii="仿宋_GB2312" w:eastAsia="仿宋_GB2312"/>
          <w:sz w:val="32"/>
          <w:szCs w:val="32"/>
        </w:rPr>
        <w:t>是指在</w:t>
      </w:r>
      <w:r>
        <w:rPr>
          <w:rFonts w:ascii="仿宋_GB2312" w:eastAsia="仿宋_GB2312"/>
          <w:sz w:val="32"/>
          <w:szCs w:val="32"/>
        </w:rPr>
        <w:t>城市密度分区基础上，</w:t>
      </w:r>
      <w:r>
        <w:rPr>
          <w:rFonts w:hint="eastAsia" w:ascii="仿宋_GB2312" w:eastAsia="仿宋_GB2312"/>
          <w:sz w:val="32"/>
          <w:szCs w:val="32"/>
        </w:rPr>
        <w:t>某一密度分区区域内,允许建设的总建筑面积与用地面积的比值。是确定</w:t>
      </w:r>
      <w:r>
        <w:rPr>
          <w:rFonts w:ascii="仿宋_GB2312" w:eastAsia="仿宋_GB2312"/>
          <w:sz w:val="32"/>
          <w:szCs w:val="32"/>
        </w:rPr>
        <w:t>地块容积率的基础指标。</w:t>
      </w:r>
    </w:p>
    <w:p>
      <w:pPr>
        <w:spacing w:line="360" w:lineRule="auto"/>
        <w:ind w:firstLine="643" w:firstLineChars="200"/>
        <w:rPr>
          <w:rFonts w:hint="eastAsia"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、额定容积率：</w:t>
      </w:r>
      <w:r>
        <w:rPr>
          <w:rFonts w:hint="eastAsia" w:ascii="仿宋_GB2312" w:eastAsia="仿宋_GB2312"/>
          <w:sz w:val="32"/>
          <w:szCs w:val="32"/>
        </w:rPr>
        <w:t>指地块的地上总建筑面积与净用地面积的比值。额定容积率</w:t>
      </w:r>
      <w:r>
        <w:rPr>
          <w:rFonts w:ascii="仿宋_GB2312" w:eastAsia="仿宋_GB2312"/>
          <w:sz w:val="32"/>
          <w:szCs w:val="32"/>
        </w:rPr>
        <w:t>=</w:t>
      </w:r>
      <w:r>
        <w:rPr>
          <w:rFonts w:hint="eastAsia" w:ascii="仿宋_GB2312" w:eastAsia="仿宋_GB2312"/>
          <w:sz w:val="32"/>
          <w:szCs w:val="32"/>
        </w:rPr>
        <w:t>基准容积率×调整系数。</w:t>
      </w:r>
    </w:p>
    <w:p>
      <w:pPr>
        <w:spacing w:line="360" w:lineRule="auto"/>
        <w:ind w:firstLine="643" w:firstLineChars="200"/>
        <w:rPr>
          <w:rFonts w:hint="eastAsia" w:ascii="仿宋_GB2312" w:eastAsia="仿宋_GB2312"/>
          <w:sz w:val="32"/>
          <w:szCs w:val="32"/>
        </w:rPr>
      </w:pPr>
      <w:r>
        <w:rPr>
          <w:rFonts w:ascii="仿宋_GB2312" w:eastAsia="仿宋_GB2312"/>
          <w:b/>
          <w:sz w:val="32"/>
          <w:szCs w:val="32"/>
        </w:rPr>
        <w:t>4</w:t>
      </w:r>
      <w:r>
        <w:rPr>
          <w:rFonts w:hint="eastAsia" w:ascii="仿宋_GB2312" w:eastAsia="仿宋_GB2312"/>
          <w:b/>
          <w:sz w:val="32"/>
          <w:szCs w:val="32"/>
        </w:rPr>
        <w:t>、净容积率：</w:t>
      </w:r>
      <w:r>
        <w:rPr>
          <w:rFonts w:hint="eastAsia" w:ascii="仿宋_GB2312" w:eastAsia="仿宋_GB2312"/>
          <w:sz w:val="32"/>
          <w:szCs w:val="32"/>
        </w:rPr>
        <w:t>指地块的地上总建筑面积与净用地面积的比值。也称为建筑面积毛密度。</w:t>
      </w:r>
    </w:p>
    <w:p>
      <w:pPr>
        <w:ind w:firstLine="640" w:firstLineChars="200"/>
        <w:rPr>
          <w:rFonts w:ascii="仿宋_GB2312" w:eastAsia="仿宋_GB2312"/>
          <w:sz w:val="32"/>
          <w:szCs w:val="32"/>
        </w:rPr>
      </w:pPr>
    </w:p>
    <w:p>
      <w:pPr>
        <w:widowControl/>
        <w:jc w:val="left"/>
        <w:rPr>
          <w:rFonts w:ascii="仿宋_GB2312" w:eastAsia="仿宋_GB2312"/>
          <w:sz w:val="32"/>
          <w:szCs w:val="32"/>
        </w:rPr>
      </w:pPr>
      <w:r>
        <w:rPr>
          <w:rFonts w:ascii="仿宋_GB2312" w:eastAsia="仿宋_GB2312"/>
          <w:sz w:val="32"/>
          <w:szCs w:val="32"/>
        </w:rPr>
        <w:br w:type="page"/>
      </w:r>
    </w:p>
    <w:p>
      <w:pPr>
        <w:spacing w:line="560" w:lineRule="exact"/>
        <w:rPr>
          <w:rFonts w:ascii="黑体" w:hAnsi="黑体" w:eastAsia="黑体" w:cs="黑体"/>
          <w:bCs/>
          <w:kern w:val="0"/>
          <w:sz w:val="32"/>
          <w:szCs w:val="32"/>
        </w:rPr>
      </w:pPr>
      <w:r>
        <w:rPr>
          <w:rFonts w:hint="eastAsia" w:ascii="黑体" w:hAnsi="黑体" w:eastAsia="黑体" w:cs="黑体"/>
          <w:bCs/>
          <w:kern w:val="0"/>
          <w:sz w:val="32"/>
          <w:szCs w:val="32"/>
        </w:rPr>
        <w:t>附表</w:t>
      </w:r>
    </w:p>
    <w:p>
      <w:pPr>
        <w:widowControl/>
        <w:spacing w:line="432" w:lineRule="auto"/>
        <w:rPr>
          <w:rFonts w:ascii="仿宋_GB2312" w:hAnsi="Verdana" w:cs="宋体"/>
          <w:b/>
          <w:bCs/>
          <w:kern w:val="0"/>
          <w:sz w:val="32"/>
          <w:szCs w:val="32"/>
        </w:rPr>
      </w:pPr>
    </w:p>
    <w:p>
      <w:pPr>
        <w:widowControl/>
        <w:spacing w:line="432" w:lineRule="auto"/>
        <w:jc w:val="center"/>
        <w:rPr>
          <w:rFonts w:ascii="仿宋_GB2312" w:hAnsi="Verdana" w:eastAsia="仿宋_GB2312" w:cs="宋体"/>
          <w:b/>
          <w:bCs/>
          <w:kern w:val="0"/>
          <w:sz w:val="32"/>
          <w:szCs w:val="32"/>
        </w:rPr>
      </w:pPr>
      <w:r>
        <w:rPr>
          <w:rFonts w:hint="eastAsia" w:ascii="仿宋_GB2312" w:hAnsi="Verdana" w:eastAsia="仿宋_GB2312" w:cs="宋体"/>
          <w:b/>
          <w:bCs/>
          <w:kern w:val="0"/>
          <w:sz w:val="32"/>
          <w:szCs w:val="32"/>
        </w:rPr>
        <w:t>表1：中心城区居住</w:t>
      </w:r>
      <w:r>
        <w:rPr>
          <w:rFonts w:ascii="仿宋_GB2312" w:hAnsi="Verdana" w:eastAsia="仿宋_GB2312" w:cs="宋体"/>
          <w:b/>
          <w:bCs/>
          <w:kern w:val="0"/>
          <w:sz w:val="32"/>
          <w:szCs w:val="32"/>
        </w:rPr>
        <w:t>用地</w:t>
      </w:r>
      <w:r>
        <w:rPr>
          <w:rFonts w:hint="eastAsia" w:ascii="仿宋_GB2312" w:hAnsi="Verdana" w:eastAsia="仿宋_GB2312" w:cs="宋体"/>
          <w:b/>
          <w:bCs/>
          <w:kern w:val="0"/>
          <w:sz w:val="32"/>
          <w:szCs w:val="32"/>
        </w:rPr>
        <w:t>建设</w:t>
      </w:r>
      <w:r>
        <w:rPr>
          <w:rFonts w:ascii="仿宋_GB2312" w:hAnsi="Verdana" w:eastAsia="仿宋_GB2312" w:cs="宋体"/>
          <w:b/>
          <w:bCs/>
          <w:kern w:val="0"/>
          <w:sz w:val="32"/>
          <w:szCs w:val="32"/>
        </w:rPr>
        <w:t>强度</w:t>
      </w:r>
      <w:r>
        <w:rPr>
          <w:rFonts w:hint="eastAsia" w:ascii="仿宋_GB2312" w:hAnsi="Verdana" w:eastAsia="仿宋_GB2312" w:cs="宋体"/>
          <w:b/>
          <w:bCs/>
          <w:kern w:val="0"/>
          <w:sz w:val="32"/>
          <w:szCs w:val="32"/>
        </w:rPr>
        <w:t>控制指标</w:t>
      </w:r>
    </w:p>
    <w:tbl>
      <w:tblPr>
        <w:tblStyle w:val="9"/>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1"/>
        <w:gridCol w:w="1563"/>
        <w:gridCol w:w="1558"/>
        <w:gridCol w:w="1551"/>
        <w:gridCol w:w="6"/>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atLeast"/>
          <w:jc w:val="center"/>
        </w:trPr>
        <w:tc>
          <w:tcPr>
            <w:tcW w:w="2121" w:type="dxa"/>
            <w:tcBorders>
              <w:tl2br w:val="single" w:color="auto" w:sz="4" w:space="0"/>
            </w:tcBorders>
            <w:vAlign w:val="center"/>
          </w:tcPr>
          <w:p>
            <w:pPr>
              <w:widowControl/>
              <w:jc w:val="center"/>
              <w:rPr>
                <w:rFonts w:ascii="仿宋_GB2312" w:hAnsi="ˎ̥" w:cs="宋体"/>
                <w:kern w:val="0"/>
                <w:sz w:val="32"/>
                <w:szCs w:val="32"/>
              </w:rPr>
            </w:pPr>
            <w:r>
              <w:rPr>
                <w:rFonts w:ascii="仿宋_GB2312" w:hAnsi="Verdana" w:eastAsia="仿宋_GB2312" w:cs="宋体"/>
                <w:b/>
                <w:bCs/>
                <w:kern w:val="0"/>
                <w:sz w:val="32"/>
                <w:szCs w:val="32"/>
              </w:rPr>
              <mc:AlternateContent>
                <mc:Choice Requires="wps">
                  <w:drawing>
                    <wp:anchor distT="45720" distB="45720" distL="114300" distR="114300" simplePos="0" relativeHeight="251659264" behindDoc="0" locked="0" layoutInCell="1" allowOverlap="1">
                      <wp:simplePos x="0" y="0"/>
                      <wp:positionH relativeFrom="column">
                        <wp:posOffset>527050</wp:posOffset>
                      </wp:positionH>
                      <wp:positionV relativeFrom="paragraph">
                        <wp:posOffset>-92075</wp:posOffset>
                      </wp:positionV>
                      <wp:extent cx="990600" cy="457200"/>
                      <wp:effectExtent l="0" t="0" r="0"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noFill/>
                              <a:ln w="9525">
                                <a:noFill/>
                                <a:miter lim="800000"/>
                              </a:ln>
                            </wps:spPr>
                            <wps:txbx>
                              <w:txbxContent>
                                <w:p>
                                  <w:pPr>
                                    <w:rPr>
                                      <w:rFonts w:ascii="仿宋_GB2312" w:hAnsi="Verdana" w:eastAsia="仿宋_GB2312" w:cs="宋体"/>
                                      <w:color w:val="333333"/>
                                      <w:spacing w:val="-11"/>
                                      <w:kern w:val="0"/>
                                      <w:sz w:val="28"/>
                                      <w:szCs w:val="28"/>
                                    </w:rPr>
                                  </w:pPr>
                                  <w:r>
                                    <w:rPr>
                                      <w:rFonts w:hint="eastAsia" w:ascii="仿宋_GB2312" w:hAnsi="ˎ̥" w:eastAsia="仿宋_GB2312" w:cs="宋体"/>
                                      <w:color w:val="333333"/>
                                      <w:spacing w:val="-11"/>
                                      <w:kern w:val="0"/>
                                      <w:sz w:val="28"/>
                                      <w:szCs w:val="28"/>
                                    </w:rPr>
                                    <w:t>强度分区</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41.5pt;margin-top:-7.25pt;height:36pt;width:78pt;z-index:251659264;mso-width-relative:page;mso-height-relative:page;" filled="f" stroked="f" coordsize="21600,21600" o:gfxdata="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aTGZ1wAA&#10;AAkBAAAPAAAAAAAAAAEAIAAAACIAAABkcnMvZG93bnJldi54bWxQSwECFAAUAAAACACHTuJAVIbC&#10;+B8CAAAqBAAADgAAAAAAAAABACAAAAAmAQAAZHJzL2Uyb0RvYy54bWxQSwUGAAAAAAYABgBZAQAA&#10;twUAAAAA&#10;">
                      <v:fill on="f" focussize="0,0"/>
                      <v:stroke on="f" miterlimit="8" joinstyle="miter"/>
                      <v:imagedata o:title=""/>
                      <o:lock v:ext="edit" aspectratio="f"/>
                      <v:textbox>
                        <w:txbxContent>
                          <w:p>
                            <w:pPr>
                              <w:rPr>
                                <w:rFonts w:ascii="仿宋_GB2312" w:hAnsi="Verdana" w:eastAsia="仿宋_GB2312" w:cs="宋体"/>
                                <w:color w:val="333333"/>
                                <w:spacing w:val="-11"/>
                                <w:kern w:val="0"/>
                                <w:sz w:val="28"/>
                                <w:szCs w:val="28"/>
                              </w:rPr>
                            </w:pPr>
                            <w:r>
                              <w:rPr>
                                <w:rFonts w:hint="eastAsia" w:ascii="仿宋_GB2312" w:hAnsi="ˎ̥" w:eastAsia="仿宋_GB2312" w:cs="宋体"/>
                                <w:color w:val="333333"/>
                                <w:spacing w:val="-11"/>
                                <w:kern w:val="0"/>
                                <w:sz w:val="28"/>
                                <w:szCs w:val="28"/>
                              </w:rPr>
                              <w:t>强度分区</w:t>
                            </w:r>
                          </w:p>
                        </w:txbxContent>
                      </v:textbox>
                    </v:shape>
                  </w:pict>
                </mc:Fallback>
              </mc:AlternateContent>
            </w:r>
            <w:r>
              <w:rPr>
                <w:rFonts w:ascii="仿宋_GB2312" w:hAnsi="ˎ̥" w:cs="宋体"/>
                <w:kern w:val="0"/>
                <w:sz w:val="32"/>
                <w:szCs w:val="32"/>
              </w:rPr>
              <mc:AlternateContent>
                <mc:Choice Requires="wps">
                  <w:drawing>
                    <wp:anchor distT="45720" distB="45720" distL="114300" distR="114300" simplePos="0" relativeHeight="251660288" behindDoc="0" locked="0" layoutInCell="1" allowOverlap="1">
                      <wp:simplePos x="0" y="0"/>
                      <wp:positionH relativeFrom="column">
                        <wp:posOffset>-76835</wp:posOffset>
                      </wp:positionH>
                      <wp:positionV relativeFrom="paragraph">
                        <wp:posOffset>186690</wp:posOffset>
                      </wp:positionV>
                      <wp:extent cx="885825" cy="423545"/>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885825" cy="423665"/>
                              </a:xfrm>
                              <a:prstGeom prst="rect">
                                <a:avLst/>
                              </a:prstGeom>
                              <a:noFill/>
                              <a:ln w="9525">
                                <a:noFill/>
                                <a:miter lim="800000"/>
                              </a:ln>
                            </wps:spPr>
                            <wps:txbx>
                              <w:txbxContent>
                                <w:p>
                                  <w:pPr>
                                    <w:rPr>
                                      <w:rFonts w:ascii="仿宋_GB2312" w:hAnsi="Verdana" w:eastAsia="仿宋_GB2312" w:cs="宋体"/>
                                      <w:color w:val="333333"/>
                                      <w:kern w:val="0"/>
                                      <w:sz w:val="28"/>
                                      <w:szCs w:val="28"/>
                                    </w:rPr>
                                  </w:pPr>
                                  <w:r>
                                    <w:rPr>
                                      <w:rFonts w:hint="eastAsia" w:ascii="仿宋_GB2312" w:hAnsi="ˎ̥" w:eastAsia="仿宋_GB2312" w:cs="宋体"/>
                                      <w:color w:val="333333"/>
                                      <w:spacing w:val="-11"/>
                                      <w:kern w:val="0"/>
                                      <w:sz w:val="28"/>
                                      <w:szCs w:val="28"/>
                                    </w:rPr>
                                    <w:t>控制指</w:t>
                                  </w:r>
                                  <w:r>
                                    <w:rPr>
                                      <w:rFonts w:hint="eastAsia" w:ascii="仿宋_GB2312" w:hAnsi="ˎ̥" w:eastAsia="仿宋_GB2312" w:cs="宋体"/>
                                      <w:color w:val="333333"/>
                                      <w:kern w:val="0"/>
                                      <w:sz w:val="28"/>
                                      <w:szCs w:val="28"/>
                                    </w:rPr>
                                    <w:t>标</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6.05pt;margin-top:14.7pt;height:33.35pt;width:69.75pt;z-index:251660288;mso-width-relative:page;mso-height-relative:page;" filled="f" stroked="f" coordsize="21600,21600" o:gfxdata="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9+hw1gAA&#10;AAkBAAAPAAAAAAAAAAEAIAAAACIAAABkcnMvZG93bnJldi54bWxQSwECFAAUAAAACACHTuJAXvQ8&#10;IyACAAAqBAAADgAAAAAAAAABACAAAAAlAQAAZHJzL2Uyb0RvYy54bWxQSwUGAAAAAAYABgBZAQAA&#10;twUAAAAA&#10;">
                      <v:fill on="f" focussize="0,0"/>
                      <v:stroke on="f" miterlimit="8" joinstyle="miter"/>
                      <v:imagedata o:title=""/>
                      <o:lock v:ext="edit" aspectratio="f"/>
                      <v:textbox>
                        <w:txbxContent>
                          <w:p>
                            <w:pPr>
                              <w:rPr>
                                <w:rFonts w:ascii="仿宋_GB2312" w:hAnsi="Verdana" w:eastAsia="仿宋_GB2312" w:cs="宋体"/>
                                <w:color w:val="333333"/>
                                <w:kern w:val="0"/>
                                <w:sz w:val="28"/>
                                <w:szCs w:val="28"/>
                              </w:rPr>
                            </w:pPr>
                            <w:r>
                              <w:rPr>
                                <w:rFonts w:hint="eastAsia" w:ascii="仿宋_GB2312" w:hAnsi="ˎ̥" w:eastAsia="仿宋_GB2312" w:cs="宋体"/>
                                <w:color w:val="333333"/>
                                <w:spacing w:val="-11"/>
                                <w:kern w:val="0"/>
                                <w:sz w:val="28"/>
                                <w:szCs w:val="28"/>
                              </w:rPr>
                              <w:t>控制指</w:t>
                            </w:r>
                            <w:r>
                              <w:rPr>
                                <w:rFonts w:hint="eastAsia" w:ascii="仿宋_GB2312" w:hAnsi="ˎ̥" w:eastAsia="仿宋_GB2312" w:cs="宋体"/>
                                <w:color w:val="333333"/>
                                <w:kern w:val="0"/>
                                <w:sz w:val="28"/>
                                <w:szCs w:val="28"/>
                              </w:rPr>
                              <w:t>标</w:t>
                            </w:r>
                          </w:p>
                        </w:txbxContent>
                      </v:textbox>
                    </v:shape>
                  </w:pict>
                </mc:Fallback>
              </mc:AlternateContent>
            </w:r>
          </w:p>
        </w:tc>
        <w:tc>
          <w:tcPr>
            <w:tcW w:w="1563"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强度一区</w:t>
            </w:r>
          </w:p>
        </w:tc>
        <w:tc>
          <w:tcPr>
            <w:tcW w:w="1558"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强度二区</w:t>
            </w:r>
          </w:p>
        </w:tc>
        <w:tc>
          <w:tcPr>
            <w:tcW w:w="1551"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强度三区</w:t>
            </w:r>
          </w:p>
        </w:tc>
        <w:tc>
          <w:tcPr>
            <w:tcW w:w="1713" w:type="dxa"/>
            <w:gridSpan w:val="2"/>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强度四区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21"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基准容积率</w:t>
            </w:r>
          </w:p>
        </w:tc>
        <w:tc>
          <w:tcPr>
            <w:tcW w:w="1563" w:type="dxa"/>
            <w:vAlign w:val="center"/>
          </w:tcPr>
          <w:p>
            <w:pPr>
              <w:widowControl/>
              <w:jc w:val="center"/>
              <w:rPr>
                <w:rFonts w:ascii="Times New Roman" w:hAnsi="Times New Roman"/>
                <w:kern w:val="0"/>
                <w:sz w:val="32"/>
                <w:szCs w:val="32"/>
              </w:rPr>
            </w:pPr>
            <w:r>
              <w:rPr>
                <w:rFonts w:ascii="Times New Roman" w:hAnsi="Times New Roman"/>
                <w:kern w:val="0"/>
                <w:sz w:val="32"/>
                <w:szCs w:val="32"/>
              </w:rPr>
              <w:t>2.4</w:t>
            </w:r>
          </w:p>
        </w:tc>
        <w:tc>
          <w:tcPr>
            <w:tcW w:w="1558" w:type="dxa"/>
            <w:vAlign w:val="center"/>
          </w:tcPr>
          <w:p>
            <w:pPr>
              <w:widowControl/>
              <w:jc w:val="center"/>
              <w:rPr>
                <w:rFonts w:ascii="Times New Roman" w:hAnsi="Times New Roman"/>
                <w:kern w:val="0"/>
                <w:sz w:val="32"/>
                <w:szCs w:val="32"/>
              </w:rPr>
            </w:pPr>
            <w:r>
              <w:rPr>
                <w:rFonts w:ascii="Times New Roman" w:hAnsi="Times New Roman"/>
                <w:kern w:val="0"/>
                <w:sz w:val="32"/>
                <w:szCs w:val="32"/>
              </w:rPr>
              <w:t>2.0</w:t>
            </w:r>
          </w:p>
        </w:tc>
        <w:tc>
          <w:tcPr>
            <w:tcW w:w="1551" w:type="dxa"/>
            <w:vAlign w:val="center"/>
          </w:tcPr>
          <w:p>
            <w:pPr>
              <w:widowControl/>
              <w:jc w:val="center"/>
              <w:rPr>
                <w:rFonts w:ascii="Times New Roman" w:hAnsi="Times New Roman"/>
                <w:kern w:val="0"/>
                <w:sz w:val="32"/>
                <w:szCs w:val="32"/>
              </w:rPr>
            </w:pPr>
            <w:r>
              <w:rPr>
                <w:rFonts w:ascii="Times New Roman" w:hAnsi="Times New Roman"/>
                <w:kern w:val="0"/>
                <w:sz w:val="32"/>
                <w:szCs w:val="32"/>
              </w:rPr>
              <w:t>1.5</w:t>
            </w:r>
          </w:p>
        </w:tc>
        <w:tc>
          <w:tcPr>
            <w:tcW w:w="1713" w:type="dxa"/>
            <w:gridSpan w:val="2"/>
            <w:vAlign w:val="center"/>
          </w:tcPr>
          <w:p>
            <w:pPr>
              <w:widowControl/>
              <w:jc w:val="center"/>
              <w:rPr>
                <w:rFonts w:ascii="Times New Roman" w:hAnsi="Times New Roman"/>
                <w:kern w:val="0"/>
                <w:sz w:val="32"/>
                <w:szCs w:val="32"/>
              </w:rPr>
            </w:pPr>
            <w:r>
              <w:rPr>
                <w:rFonts w:ascii="Times New Roman" w:hAnsi="Times New Roman"/>
                <w:kern w:val="0"/>
                <w:sz w:val="32"/>
                <w:szCs w:val="32"/>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21"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最高</w:t>
            </w:r>
            <w:r>
              <w:rPr>
                <w:rFonts w:ascii="仿宋_GB2312" w:hAnsi="ˎ̥" w:eastAsia="仿宋_GB2312" w:cs="宋体"/>
                <w:kern w:val="0"/>
                <w:sz w:val="32"/>
                <w:szCs w:val="32"/>
              </w:rPr>
              <w:t>容积率</w:t>
            </w:r>
          </w:p>
        </w:tc>
        <w:tc>
          <w:tcPr>
            <w:tcW w:w="1563" w:type="dxa"/>
            <w:vAlign w:val="center"/>
          </w:tcPr>
          <w:p>
            <w:pPr>
              <w:widowControl/>
              <w:jc w:val="center"/>
              <w:rPr>
                <w:rFonts w:ascii="Times New Roman" w:hAnsi="Times New Roman"/>
                <w:kern w:val="0"/>
                <w:sz w:val="32"/>
                <w:szCs w:val="32"/>
              </w:rPr>
            </w:pPr>
            <w:r>
              <w:rPr>
                <w:rFonts w:hint="eastAsia" w:ascii="Times New Roman" w:hAnsi="Times New Roman"/>
                <w:kern w:val="0"/>
                <w:sz w:val="32"/>
                <w:szCs w:val="32"/>
              </w:rPr>
              <w:t>2.9</w:t>
            </w:r>
          </w:p>
        </w:tc>
        <w:tc>
          <w:tcPr>
            <w:tcW w:w="1558" w:type="dxa"/>
            <w:vAlign w:val="center"/>
          </w:tcPr>
          <w:p>
            <w:pPr>
              <w:widowControl/>
              <w:jc w:val="center"/>
              <w:rPr>
                <w:rFonts w:ascii="Times New Roman" w:hAnsi="Times New Roman"/>
                <w:kern w:val="0"/>
                <w:sz w:val="32"/>
                <w:szCs w:val="32"/>
              </w:rPr>
            </w:pPr>
            <w:r>
              <w:rPr>
                <w:rFonts w:hint="eastAsia" w:ascii="Times New Roman" w:hAnsi="Times New Roman"/>
                <w:kern w:val="0"/>
                <w:sz w:val="32"/>
                <w:szCs w:val="32"/>
              </w:rPr>
              <w:t>2.4</w:t>
            </w:r>
          </w:p>
        </w:tc>
        <w:tc>
          <w:tcPr>
            <w:tcW w:w="1557" w:type="dxa"/>
            <w:gridSpan w:val="2"/>
            <w:vAlign w:val="center"/>
          </w:tcPr>
          <w:p>
            <w:pPr>
              <w:widowControl/>
              <w:jc w:val="center"/>
              <w:rPr>
                <w:rFonts w:ascii="Times New Roman" w:hAnsi="Times New Roman"/>
                <w:kern w:val="0"/>
                <w:sz w:val="32"/>
                <w:szCs w:val="32"/>
              </w:rPr>
            </w:pPr>
            <w:r>
              <w:rPr>
                <w:rFonts w:hint="eastAsia" w:ascii="Times New Roman" w:hAnsi="Times New Roman"/>
                <w:kern w:val="0"/>
                <w:sz w:val="32"/>
                <w:szCs w:val="32"/>
              </w:rPr>
              <w:t>1.8</w:t>
            </w:r>
          </w:p>
        </w:tc>
        <w:tc>
          <w:tcPr>
            <w:tcW w:w="1707" w:type="dxa"/>
            <w:vAlign w:val="center"/>
          </w:tcPr>
          <w:p>
            <w:pPr>
              <w:widowControl/>
              <w:jc w:val="center"/>
              <w:rPr>
                <w:rFonts w:ascii="Times New Roman" w:hAnsi="Times New Roman"/>
                <w:kern w:val="0"/>
                <w:sz w:val="32"/>
                <w:szCs w:val="32"/>
              </w:rPr>
            </w:pPr>
            <w:r>
              <w:rPr>
                <w:rFonts w:hint="eastAsia" w:ascii="Times New Roman" w:hAnsi="Times New Roman"/>
                <w:kern w:val="0"/>
                <w:sz w:val="32"/>
                <w:szCs w:val="32"/>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2121"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建筑</w:t>
            </w:r>
            <w:r>
              <w:rPr>
                <w:rFonts w:ascii="仿宋_GB2312" w:hAnsi="ˎ̥" w:eastAsia="仿宋_GB2312" w:cs="宋体"/>
                <w:kern w:val="0"/>
                <w:sz w:val="32"/>
                <w:szCs w:val="32"/>
              </w:rPr>
              <w:t>高度</w:t>
            </w:r>
          </w:p>
        </w:tc>
        <w:tc>
          <w:tcPr>
            <w:tcW w:w="6385" w:type="dxa"/>
            <w:gridSpan w:val="5"/>
            <w:vAlign w:val="center"/>
          </w:tcPr>
          <w:p>
            <w:pPr>
              <w:widowControl/>
              <w:jc w:val="center"/>
              <w:rPr>
                <w:rFonts w:ascii="Times New Roman" w:hAnsi="Times New Roman"/>
                <w:kern w:val="0"/>
                <w:sz w:val="32"/>
                <w:szCs w:val="32"/>
              </w:rPr>
            </w:pPr>
            <w:r>
              <w:rPr>
                <w:rFonts w:hint="eastAsia" w:ascii="Times New Roman" w:hAnsi="Times New Roman"/>
                <w:kern w:val="0"/>
                <w:sz w:val="32"/>
                <w:szCs w:val="32"/>
              </w:rPr>
              <w:t>≤</w:t>
            </w:r>
            <w:r>
              <w:rPr>
                <w:rFonts w:ascii="Times New Roman" w:hAnsi="Times New Roman"/>
                <w:kern w:val="0"/>
                <w:sz w:val="32"/>
                <w:szCs w:val="32"/>
              </w:rPr>
              <w:t>80</w:t>
            </w:r>
            <w:r>
              <w:rPr>
                <w:rFonts w:hint="eastAsia" w:ascii="仿宋_GB2312" w:hAnsi="Times New Roman" w:eastAsia="仿宋_GB2312"/>
                <w:kern w:val="0"/>
                <w:sz w:val="32"/>
                <w:szCs w:val="32"/>
              </w:rPr>
              <w:t>米</w:t>
            </w:r>
          </w:p>
        </w:tc>
      </w:tr>
    </w:tbl>
    <w:p>
      <w:pPr>
        <w:widowControl/>
        <w:rPr>
          <w:rFonts w:ascii="仿宋_GB2312" w:hAnsi="Times New Roman" w:eastAsia="仿宋_GB2312"/>
          <w:kern w:val="0"/>
          <w:sz w:val="28"/>
          <w:szCs w:val="32"/>
        </w:rPr>
      </w:pPr>
      <w:r>
        <w:rPr>
          <w:rFonts w:hint="eastAsia" w:ascii="仿宋_GB2312" w:hAnsi="Times New Roman" w:eastAsia="仿宋_GB2312"/>
          <w:kern w:val="0"/>
          <w:sz w:val="28"/>
          <w:szCs w:val="32"/>
        </w:rPr>
        <w:t>注：表中容积率类型为净容积率。</w:t>
      </w:r>
    </w:p>
    <w:p>
      <w:pPr>
        <w:widowControl/>
        <w:spacing w:line="432" w:lineRule="auto"/>
        <w:rPr>
          <w:rFonts w:ascii="仿宋_GB2312" w:hAnsi="Verdana" w:cs="宋体"/>
          <w:b/>
          <w:bCs/>
          <w:kern w:val="0"/>
          <w:sz w:val="32"/>
          <w:szCs w:val="32"/>
        </w:rPr>
      </w:pPr>
    </w:p>
    <w:p>
      <w:pPr>
        <w:widowControl/>
        <w:spacing w:line="432" w:lineRule="auto"/>
        <w:jc w:val="center"/>
        <w:rPr>
          <w:rFonts w:ascii="仿宋_GB2312" w:hAnsi="Verdana" w:eastAsia="仿宋_GB2312" w:cs="宋体"/>
          <w:b/>
          <w:bCs/>
          <w:kern w:val="0"/>
          <w:sz w:val="32"/>
          <w:szCs w:val="32"/>
        </w:rPr>
      </w:pPr>
      <w:r>
        <w:rPr>
          <w:rFonts w:ascii="仿宋_GB2312" w:hAnsi="ˎ̥" w:cs="宋体"/>
          <w:kern w:val="0"/>
          <w:sz w:val="32"/>
          <w:szCs w:val="32"/>
        </w:rPr>
        <mc:AlternateContent>
          <mc:Choice Requires="wps">
            <w:drawing>
              <wp:anchor distT="45720" distB="45720" distL="114300" distR="114300" simplePos="0" relativeHeight="251662336" behindDoc="0" locked="0" layoutInCell="1" allowOverlap="1">
                <wp:simplePos x="0" y="0"/>
                <wp:positionH relativeFrom="column">
                  <wp:posOffset>334010</wp:posOffset>
                </wp:positionH>
                <wp:positionV relativeFrom="paragraph">
                  <wp:posOffset>344170</wp:posOffset>
                </wp:positionV>
                <wp:extent cx="1044575" cy="46101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044575" cy="461010"/>
                        </a:xfrm>
                        <a:prstGeom prst="rect">
                          <a:avLst/>
                        </a:prstGeom>
                        <a:noFill/>
                        <a:ln w="9525">
                          <a:noFill/>
                          <a:miter lim="800000"/>
                        </a:ln>
                      </wps:spPr>
                      <wps:txbx>
                        <w:txbxContent>
                          <w:p>
                            <w:pPr>
                              <w:rPr>
                                <w:rFonts w:ascii="仿宋_GB2312" w:hAnsi="Verdana" w:eastAsia="仿宋_GB2312" w:cs="宋体"/>
                                <w:color w:val="333333"/>
                                <w:kern w:val="0"/>
                                <w:sz w:val="28"/>
                                <w:szCs w:val="28"/>
                              </w:rPr>
                            </w:pPr>
                            <w:r>
                              <w:rPr>
                                <w:rFonts w:hint="eastAsia" w:ascii="仿宋_GB2312" w:hAnsi="ˎ̥" w:eastAsia="仿宋_GB2312" w:cs="宋体"/>
                                <w:color w:val="333333"/>
                                <w:kern w:val="0"/>
                                <w:sz w:val="28"/>
                                <w:szCs w:val="28"/>
                              </w:rPr>
                              <w:t>管控区域</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3pt;margin-top:27.1pt;height:36.3pt;width:82.25pt;z-index:251662336;mso-width-relative:page;mso-height-relative:page;" filled="f" stroked="f" coordsize="21600,21600" o:gfxdata="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UIkBo1gAA&#10;AAkBAAAPAAAAAAAAAAEAIAAAACIAAABkcnMvZG93bnJldi54bWxQSwECFAAUAAAACACHTuJAzafu&#10;ciACAAApBAAADgAAAAAAAAABACAAAAAlAQAAZHJzL2Uyb0RvYy54bWxQSwUGAAAAAAYABgBZAQAA&#10;twUAAAAA&#10;">
                <v:fill on="f" focussize="0,0"/>
                <v:stroke on="f" miterlimit="8" joinstyle="miter"/>
                <v:imagedata o:title=""/>
                <o:lock v:ext="edit" aspectratio="f"/>
                <v:textbox>
                  <w:txbxContent>
                    <w:p>
                      <w:pPr>
                        <w:rPr>
                          <w:rFonts w:ascii="仿宋_GB2312" w:hAnsi="Verdana" w:eastAsia="仿宋_GB2312" w:cs="宋体"/>
                          <w:color w:val="333333"/>
                          <w:kern w:val="0"/>
                          <w:sz w:val="28"/>
                          <w:szCs w:val="28"/>
                        </w:rPr>
                      </w:pPr>
                      <w:r>
                        <w:rPr>
                          <w:rFonts w:hint="eastAsia" w:ascii="仿宋_GB2312" w:hAnsi="ˎ̥" w:eastAsia="仿宋_GB2312" w:cs="宋体"/>
                          <w:color w:val="333333"/>
                          <w:kern w:val="0"/>
                          <w:sz w:val="28"/>
                          <w:szCs w:val="28"/>
                        </w:rPr>
                        <w:t>管控区域</w:t>
                      </w:r>
                    </w:p>
                  </w:txbxContent>
                </v:textbox>
              </v:shape>
            </w:pict>
          </mc:Fallback>
        </mc:AlternateContent>
      </w:r>
      <w:r>
        <w:rPr>
          <w:rFonts w:hint="eastAsia" w:ascii="仿宋_GB2312" w:hAnsi="Verdana" w:eastAsia="仿宋_GB2312" w:cs="宋体"/>
          <w:b/>
          <w:bCs/>
          <w:kern w:val="0"/>
          <w:sz w:val="32"/>
          <w:szCs w:val="32"/>
        </w:rPr>
        <w:t>表2：新城、乡镇居住</w:t>
      </w:r>
      <w:r>
        <w:rPr>
          <w:rFonts w:ascii="仿宋_GB2312" w:hAnsi="Verdana" w:eastAsia="仿宋_GB2312" w:cs="宋体"/>
          <w:b/>
          <w:bCs/>
          <w:kern w:val="0"/>
          <w:sz w:val="32"/>
          <w:szCs w:val="32"/>
        </w:rPr>
        <w:t>用地</w:t>
      </w:r>
      <w:r>
        <w:rPr>
          <w:rFonts w:hint="eastAsia" w:ascii="仿宋_GB2312" w:hAnsi="Verdana" w:eastAsia="仿宋_GB2312" w:cs="宋体"/>
          <w:b/>
          <w:bCs/>
          <w:kern w:val="0"/>
          <w:sz w:val="32"/>
          <w:szCs w:val="32"/>
        </w:rPr>
        <w:t>建设强度控制指标</w:t>
      </w:r>
    </w:p>
    <w:tbl>
      <w:tblPr>
        <w:tblStyle w:val="9"/>
        <w:tblW w:w="85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1984"/>
        <w:gridCol w:w="2694"/>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1980" w:type="dxa"/>
            <w:tcBorders>
              <w:tl2br w:val="single" w:color="auto" w:sz="4" w:space="0"/>
            </w:tcBorders>
            <w:vAlign w:val="center"/>
          </w:tcPr>
          <w:p>
            <w:pPr>
              <w:widowControl/>
              <w:jc w:val="center"/>
              <w:rPr>
                <w:rFonts w:ascii="仿宋_GB2312" w:hAnsi="ˎ̥" w:cs="宋体"/>
                <w:kern w:val="0"/>
                <w:sz w:val="32"/>
                <w:szCs w:val="32"/>
              </w:rPr>
            </w:pPr>
            <w:r>
              <w:rPr>
                <w:rFonts w:hint="eastAsia" w:ascii="仿宋_GB2312" w:hAnsi="ˎ̥" w:cs="宋体"/>
                <w:kern w:val="0"/>
                <w:sz w:val="32"/>
                <w:szCs w:val="32"/>
              </w:rPr>
              <mc:AlternateContent>
                <mc:Choice Requires="wps">
                  <w:drawing>
                    <wp:anchor distT="45720" distB="45720" distL="114300" distR="114300" simplePos="0" relativeHeight="251661312" behindDoc="0" locked="0" layoutInCell="1" allowOverlap="1">
                      <wp:simplePos x="0" y="0"/>
                      <wp:positionH relativeFrom="column">
                        <wp:posOffset>635</wp:posOffset>
                      </wp:positionH>
                      <wp:positionV relativeFrom="paragraph">
                        <wp:posOffset>358140</wp:posOffset>
                      </wp:positionV>
                      <wp:extent cx="1002665" cy="474345"/>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002665" cy="474453"/>
                              </a:xfrm>
                              <a:prstGeom prst="rect">
                                <a:avLst/>
                              </a:prstGeom>
                              <a:noFill/>
                              <a:ln w="9525">
                                <a:noFill/>
                                <a:miter lim="800000"/>
                              </a:ln>
                            </wps:spPr>
                            <wps:txbx>
                              <w:txbxContent>
                                <w:p>
                                  <w:pPr>
                                    <w:rPr>
                                      <w:rFonts w:ascii="仿宋_GB2312" w:hAnsi="Verdana" w:eastAsia="仿宋_GB2312" w:cs="宋体"/>
                                      <w:color w:val="333333"/>
                                      <w:kern w:val="0"/>
                                      <w:sz w:val="28"/>
                                      <w:szCs w:val="28"/>
                                    </w:rPr>
                                  </w:pPr>
                                  <w:r>
                                    <w:rPr>
                                      <w:rFonts w:hint="eastAsia" w:ascii="仿宋_GB2312" w:hAnsi="ˎ̥" w:eastAsia="仿宋_GB2312" w:cs="宋体"/>
                                      <w:color w:val="333333"/>
                                      <w:kern w:val="0"/>
                                      <w:sz w:val="28"/>
                                      <w:szCs w:val="28"/>
                                    </w:rPr>
                                    <w:t>控制指标</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05pt;margin-top:28.2pt;height:37.35pt;width:78.95pt;z-index:251661312;mso-width-relative:page;mso-height-relative:page;" filled="f" stroked="f" coordsize="21600,21600" o:gfxdata="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MOu+h1AAA&#10;AAcBAAAPAAAAAAAAAAEAIAAAACIAAABkcnMvZG93bnJldi54bWxQSwECFAAUAAAACACHTuJArce3&#10;wSICAAApBAAADgAAAAAAAAABACAAAAAjAQAAZHJzL2Uyb0RvYy54bWxQSwUGAAAAAAYABgBZAQAA&#10;twUAAAAA&#10;">
                      <v:fill on="f" focussize="0,0"/>
                      <v:stroke on="f" miterlimit="8" joinstyle="miter"/>
                      <v:imagedata o:title=""/>
                      <o:lock v:ext="edit" aspectratio="f"/>
                      <v:textbox>
                        <w:txbxContent>
                          <w:p>
                            <w:pPr>
                              <w:rPr>
                                <w:rFonts w:ascii="仿宋_GB2312" w:hAnsi="Verdana" w:eastAsia="仿宋_GB2312" w:cs="宋体"/>
                                <w:color w:val="333333"/>
                                <w:kern w:val="0"/>
                                <w:sz w:val="28"/>
                                <w:szCs w:val="28"/>
                              </w:rPr>
                            </w:pPr>
                            <w:r>
                              <w:rPr>
                                <w:rFonts w:hint="eastAsia" w:ascii="仿宋_GB2312" w:hAnsi="ˎ̥" w:eastAsia="仿宋_GB2312" w:cs="宋体"/>
                                <w:color w:val="333333"/>
                                <w:kern w:val="0"/>
                                <w:sz w:val="28"/>
                                <w:szCs w:val="28"/>
                              </w:rPr>
                              <w:t>控制指标</w:t>
                            </w:r>
                          </w:p>
                        </w:txbxContent>
                      </v:textbox>
                    </v:shape>
                  </w:pict>
                </mc:Fallback>
              </mc:AlternateContent>
            </w:r>
          </w:p>
        </w:tc>
        <w:tc>
          <w:tcPr>
            <w:tcW w:w="1984" w:type="dxa"/>
            <w:vAlign w:val="center"/>
          </w:tcPr>
          <w:p>
            <w:pPr>
              <w:widowControl/>
              <w:spacing w:line="400" w:lineRule="exact"/>
              <w:jc w:val="center"/>
              <w:rPr>
                <w:rFonts w:ascii="仿宋_GB2312" w:hAnsi="Times New Roman" w:eastAsia="仿宋_GB2312"/>
                <w:kern w:val="0"/>
                <w:sz w:val="32"/>
                <w:szCs w:val="32"/>
              </w:rPr>
            </w:pPr>
            <w:r>
              <w:rPr>
                <w:rFonts w:hint="eastAsia" w:ascii="仿宋_GB2312" w:hAnsi="Times New Roman" w:eastAsia="仿宋_GB2312"/>
                <w:kern w:val="0"/>
                <w:sz w:val="32"/>
                <w:szCs w:val="32"/>
              </w:rPr>
              <w:t>新城</w:t>
            </w:r>
          </w:p>
        </w:tc>
        <w:tc>
          <w:tcPr>
            <w:tcW w:w="2694" w:type="dxa"/>
            <w:vAlign w:val="center"/>
          </w:tcPr>
          <w:p>
            <w:pPr>
              <w:widowControl/>
              <w:spacing w:line="400" w:lineRule="exact"/>
              <w:jc w:val="center"/>
              <w:rPr>
                <w:rFonts w:ascii="仿宋_GB2312" w:hAnsi="Times New Roman" w:eastAsia="仿宋_GB2312"/>
                <w:kern w:val="0"/>
                <w:sz w:val="32"/>
                <w:szCs w:val="32"/>
              </w:rPr>
            </w:pPr>
            <w:r>
              <w:rPr>
                <w:rFonts w:hint="eastAsia" w:ascii="仿宋_GB2312" w:hAnsi="Times New Roman" w:eastAsia="仿宋_GB2312"/>
                <w:kern w:val="0"/>
                <w:sz w:val="32"/>
                <w:szCs w:val="32"/>
              </w:rPr>
              <w:t>太和镇、花湖镇</w:t>
            </w:r>
          </w:p>
        </w:tc>
        <w:tc>
          <w:tcPr>
            <w:tcW w:w="1857" w:type="dxa"/>
            <w:vAlign w:val="center"/>
          </w:tcPr>
          <w:p>
            <w:pPr>
              <w:widowControl/>
              <w:jc w:val="center"/>
              <w:rPr>
                <w:rFonts w:ascii="仿宋_GB2312" w:hAnsi="Times New Roman" w:eastAsia="仿宋_GB2312"/>
                <w:kern w:val="0"/>
                <w:sz w:val="32"/>
                <w:szCs w:val="32"/>
              </w:rPr>
            </w:pPr>
            <w:r>
              <w:rPr>
                <w:rFonts w:hint="eastAsia" w:ascii="仿宋_GB2312" w:hAnsi="Times New Roman" w:eastAsia="仿宋_GB2312"/>
                <w:kern w:val="0"/>
                <w:sz w:val="32"/>
                <w:szCs w:val="32"/>
              </w:rPr>
              <w:t>其他乡镇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980"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最高容积率</w:t>
            </w:r>
          </w:p>
        </w:tc>
        <w:tc>
          <w:tcPr>
            <w:tcW w:w="1984" w:type="dxa"/>
            <w:vAlign w:val="center"/>
          </w:tcPr>
          <w:p>
            <w:pPr>
              <w:widowControl/>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2.5</w:t>
            </w:r>
          </w:p>
        </w:tc>
        <w:tc>
          <w:tcPr>
            <w:tcW w:w="2694" w:type="dxa"/>
            <w:vAlign w:val="center"/>
          </w:tcPr>
          <w:p>
            <w:pPr>
              <w:widowControl/>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w:t>
            </w:r>
          </w:p>
        </w:tc>
        <w:tc>
          <w:tcPr>
            <w:tcW w:w="1857" w:type="dxa"/>
            <w:vAlign w:val="center"/>
          </w:tcPr>
          <w:p>
            <w:pPr>
              <w:widowControl/>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980" w:type="dxa"/>
            <w:vAlign w:val="center"/>
          </w:tcPr>
          <w:p>
            <w:pPr>
              <w:widowControl/>
              <w:jc w:val="center"/>
              <w:rPr>
                <w:rFonts w:ascii="仿宋_GB2312" w:hAnsi="ˎ̥" w:eastAsia="仿宋_GB2312" w:cs="宋体"/>
                <w:kern w:val="0"/>
                <w:sz w:val="32"/>
                <w:szCs w:val="32"/>
              </w:rPr>
            </w:pPr>
            <w:r>
              <w:rPr>
                <w:rFonts w:hint="eastAsia" w:ascii="仿宋_GB2312" w:hAnsi="ˎ̥" w:eastAsia="仿宋_GB2312" w:cs="宋体"/>
                <w:kern w:val="0"/>
                <w:sz w:val="32"/>
                <w:szCs w:val="32"/>
              </w:rPr>
              <w:t>建筑</w:t>
            </w:r>
            <w:r>
              <w:rPr>
                <w:rFonts w:ascii="仿宋_GB2312" w:hAnsi="ˎ̥" w:eastAsia="仿宋_GB2312" w:cs="宋体"/>
                <w:kern w:val="0"/>
                <w:sz w:val="32"/>
                <w:szCs w:val="32"/>
              </w:rPr>
              <w:t>高度</w:t>
            </w:r>
          </w:p>
        </w:tc>
        <w:tc>
          <w:tcPr>
            <w:tcW w:w="1984" w:type="dxa"/>
            <w:vAlign w:val="center"/>
          </w:tcPr>
          <w:p>
            <w:pPr>
              <w:widowControl/>
              <w:jc w:val="center"/>
              <w:rPr>
                <w:rFonts w:ascii="Times New Roman" w:hAnsi="Times New Roman" w:eastAsia="仿宋_GB2312" w:cs="Times New Roman"/>
                <w:kern w:val="0"/>
                <w:sz w:val="32"/>
                <w:szCs w:val="32"/>
              </w:rPr>
            </w:pPr>
            <w:r>
              <w:rPr>
                <w:rFonts w:hint="eastAsia" w:ascii="Times New Roman" w:hAnsi="Times New Roman"/>
                <w:kern w:val="0"/>
                <w:sz w:val="32"/>
                <w:szCs w:val="32"/>
              </w:rPr>
              <w:t>≤</w:t>
            </w:r>
            <w:r>
              <w:rPr>
                <w:rFonts w:ascii="Times New Roman" w:hAnsi="Times New Roman"/>
                <w:kern w:val="0"/>
                <w:sz w:val="32"/>
                <w:szCs w:val="32"/>
              </w:rPr>
              <w:t>80</w:t>
            </w:r>
            <w:r>
              <w:rPr>
                <w:rFonts w:hint="eastAsia" w:ascii="仿宋_GB2312" w:hAnsi="Times New Roman" w:eastAsia="仿宋_GB2312"/>
                <w:kern w:val="0"/>
                <w:sz w:val="32"/>
                <w:szCs w:val="32"/>
              </w:rPr>
              <w:t>米</w:t>
            </w:r>
          </w:p>
        </w:tc>
        <w:tc>
          <w:tcPr>
            <w:tcW w:w="2694" w:type="dxa"/>
            <w:vAlign w:val="center"/>
          </w:tcPr>
          <w:p>
            <w:pPr>
              <w:widowControl/>
              <w:jc w:val="center"/>
              <w:rPr>
                <w:rFonts w:ascii="Times New Roman" w:hAnsi="Times New Roman" w:eastAsia="仿宋_GB2312" w:cs="Times New Roman"/>
                <w:kern w:val="0"/>
                <w:sz w:val="32"/>
                <w:szCs w:val="32"/>
              </w:rPr>
            </w:pPr>
            <w:r>
              <w:rPr>
                <w:rFonts w:hint="eastAsia" w:ascii="Times New Roman" w:hAnsi="Times New Roman"/>
                <w:kern w:val="0"/>
                <w:sz w:val="32"/>
                <w:szCs w:val="32"/>
              </w:rPr>
              <w:t>≤</w:t>
            </w:r>
            <w:r>
              <w:rPr>
                <w:rFonts w:ascii="Times New Roman" w:hAnsi="Times New Roman"/>
                <w:kern w:val="0"/>
                <w:sz w:val="32"/>
                <w:szCs w:val="32"/>
              </w:rPr>
              <w:t>54</w:t>
            </w:r>
            <w:r>
              <w:rPr>
                <w:rFonts w:hint="eastAsia" w:ascii="仿宋_GB2312" w:hAnsi="Times New Roman" w:eastAsia="仿宋_GB2312"/>
                <w:kern w:val="0"/>
                <w:sz w:val="32"/>
                <w:szCs w:val="32"/>
              </w:rPr>
              <w:t>米</w:t>
            </w:r>
          </w:p>
        </w:tc>
        <w:tc>
          <w:tcPr>
            <w:tcW w:w="1857" w:type="dxa"/>
            <w:vAlign w:val="center"/>
          </w:tcPr>
          <w:p>
            <w:pPr>
              <w:widowControl/>
              <w:jc w:val="center"/>
              <w:rPr>
                <w:rFonts w:ascii="Times New Roman" w:hAnsi="Times New Roman" w:eastAsia="仿宋_GB2312" w:cs="Times New Roman"/>
                <w:kern w:val="0"/>
                <w:sz w:val="32"/>
                <w:szCs w:val="32"/>
              </w:rPr>
            </w:pPr>
            <w:r>
              <w:rPr>
                <w:rFonts w:hint="eastAsia" w:ascii="Times New Roman" w:hAnsi="Times New Roman"/>
                <w:kern w:val="0"/>
                <w:sz w:val="32"/>
                <w:szCs w:val="32"/>
              </w:rPr>
              <w:t>≤</w:t>
            </w:r>
            <w:r>
              <w:rPr>
                <w:rFonts w:ascii="Times New Roman" w:hAnsi="Times New Roman"/>
                <w:kern w:val="0"/>
                <w:sz w:val="32"/>
                <w:szCs w:val="32"/>
              </w:rPr>
              <w:t>36</w:t>
            </w:r>
            <w:r>
              <w:rPr>
                <w:rFonts w:hint="eastAsia" w:ascii="仿宋_GB2312" w:hAnsi="Times New Roman" w:eastAsia="仿宋_GB2312"/>
                <w:kern w:val="0"/>
                <w:sz w:val="32"/>
                <w:szCs w:val="32"/>
              </w:rPr>
              <w:t>米</w:t>
            </w:r>
          </w:p>
        </w:tc>
      </w:tr>
    </w:tbl>
    <w:p>
      <w:pPr>
        <w:widowControl/>
        <w:rPr>
          <w:rFonts w:ascii="仿宋_GB2312" w:hAnsi="Times New Roman" w:eastAsia="仿宋_GB2312"/>
          <w:kern w:val="0"/>
          <w:sz w:val="28"/>
          <w:szCs w:val="32"/>
        </w:rPr>
      </w:pPr>
      <w:r>
        <w:rPr>
          <w:rFonts w:hint="eastAsia" w:ascii="仿宋_GB2312" w:hAnsi="Times New Roman" w:eastAsia="仿宋_GB2312"/>
          <w:kern w:val="0"/>
          <w:sz w:val="28"/>
          <w:szCs w:val="32"/>
        </w:rPr>
        <w:t>注：表中容积率类型为净容积率。其他乡镇指汀祖镇、碧石渡镇、长港镇、段店镇、临江乡、蒲团乡、东沟镇、梁子镇、沼山镇、涂家垴镇。</w:t>
      </w:r>
    </w:p>
    <w:p>
      <w:pPr>
        <w:widowControl/>
        <w:rPr>
          <w:rFonts w:ascii="仿宋_GB2312" w:hAnsi="Times New Roman" w:eastAsia="仿宋_GB2312"/>
          <w:kern w:val="0"/>
          <w:sz w:val="28"/>
          <w:szCs w:val="28"/>
        </w:rPr>
      </w:pPr>
    </w:p>
    <w:p>
      <w:pPr>
        <w:widowControl/>
        <w:jc w:val="left"/>
        <w:rPr>
          <w:rFonts w:ascii="仿宋_GB2312" w:hAnsi="Times New Roman" w:eastAsia="仿宋_GB2312"/>
          <w:kern w:val="0"/>
          <w:sz w:val="28"/>
          <w:szCs w:val="28"/>
        </w:rPr>
      </w:pPr>
      <w:r>
        <w:rPr>
          <w:rFonts w:ascii="仿宋_GB2312" w:hAnsi="Times New Roman" w:eastAsia="仿宋_GB2312"/>
          <w:kern w:val="0"/>
          <w:sz w:val="28"/>
          <w:szCs w:val="28"/>
        </w:rPr>
        <w:br w:type="page"/>
      </w:r>
    </w:p>
    <w:p>
      <w:pPr>
        <w:spacing w:line="560" w:lineRule="exact"/>
        <w:rPr>
          <w:rFonts w:ascii="黑体" w:hAnsi="黑体" w:eastAsia="黑体" w:cs="黑体"/>
          <w:bCs/>
          <w:kern w:val="0"/>
          <w:sz w:val="32"/>
          <w:szCs w:val="32"/>
        </w:rPr>
      </w:pPr>
      <w:r>
        <w:rPr>
          <w:rFonts w:ascii="黑体" w:hAnsi="黑体" w:eastAsia="黑体" w:cs="黑体"/>
          <w:bCs/>
          <w:kern w:val="0"/>
          <w:sz w:val="32"/>
          <w:szCs w:val="32"/>
        </w:rPr>
        <w:drawing>
          <wp:anchor distT="0" distB="0" distL="114300" distR="114300" simplePos="0" relativeHeight="251664384" behindDoc="0" locked="0" layoutInCell="1" allowOverlap="1">
            <wp:simplePos x="0" y="0"/>
            <wp:positionH relativeFrom="margin">
              <wp:posOffset>-1084580</wp:posOffset>
            </wp:positionH>
            <wp:positionV relativeFrom="margin">
              <wp:posOffset>474980</wp:posOffset>
            </wp:positionV>
            <wp:extent cx="7471410" cy="8930005"/>
            <wp:effectExtent l="0" t="0" r="1524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cstate="print"/>
                    <a:srcRect/>
                    <a:stretch>
                      <a:fillRect/>
                    </a:stretch>
                  </pic:blipFill>
                  <pic:spPr>
                    <a:xfrm>
                      <a:off x="0" y="0"/>
                      <a:ext cx="7471410" cy="8930005"/>
                    </a:xfrm>
                    <a:prstGeom prst="rect">
                      <a:avLst/>
                    </a:prstGeom>
                    <a:noFill/>
                    <a:ln>
                      <a:noFill/>
                    </a:ln>
                  </pic:spPr>
                </pic:pic>
              </a:graphicData>
            </a:graphic>
          </wp:anchor>
        </w:drawing>
      </w:r>
      <w:r>
        <w:rPr>
          <w:rFonts w:hint="eastAsia" w:ascii="黑体" w:hAnsi="黑体" w:eastAsia="黑体" w:cs="黑体"/>
          <w:bCs/>
          <w:kern w:val="0"/>
          <w:sz w:val="32"/>
          <w:szCs w:val="32"/>
        </w:rPr>
        <w:t>附图</w:t>
      </w:r>
    </w:p>
    <w:p>
      <w:pPr>
        <w:widowControl/>
        <w:rPr>
          <w:rFonts w:hint="default" w:ascii="方正小标宋简体" w:hAnsi="方正小标宋简体" w:eastAsia="方正小标宋简体" w:cs="方正小标宋简体"/>
          <w:sz w:val="28"/>
          <w:szCs w:val="28"/>
          <w:lang w:val="en-US" w:eastAsia="zh-CN"/>
        </w:rPr>
      </w:pPr>
      <w:r>
        <w:rPr>
          <w:rFonts w:ascii="Times New Roman" w:hAnsi="Times New Roman"/>
          <w:kern w:val="0"/>
          <w:sz w:val="28"/>
          <w:szCs w:val="24"/>
        </w:rPr>
        <w:drawing>
          <wp:anchor distT="0" distB="0" distL="114300" distR="114300" simplePos="0" relativeHeight="251663360" behindDoc="0" locked="0" layoutInCell="1" allowOverlap="1">
            <wp:simplePos x="0" y="0"/>
            <wp:positionH relativeFrom="margin">
              <wp:posOffset>-2513965</wp:posOffset>
            </wp:positionH>
            <wp:positionV relativeFrom="page">
              <wp:posOffset>2301240</wp:posOffset>
            </wp:positionV>
            <wp:extent cx="10289540" cy="6106160"/>
            <wp:effectExtent l="0" t="0" r="8890" b="165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10289540" cy="6106160"/>
                    </a:xfrm>
                    <a:prstGeom prst="rect">
                      <a:avLst/>
                    </a:prstGeom>
                    <a:noFill/>
                    <a:ln>
                      <a:noFill/>
                    </a:ln>
                  </pic:spPr>
                </pic:pic>
              </a:graphicData>
            </a:graphic>
          </wp:anchor>
        </w:drawing>
      </w:r>
    </w:p>
    <w:sectPr>
      <w:footerReference r:id="rId3" w:type="default"/>
      <w:pgSz w:w="11906" w:h="16838"/>
      <w:pgMar w:top="1701" w:right="1531" w:bottom="1758" w:left="1644" w:header="851" w:footer="136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uto" w:vAnchor="text" w:hAnchor="margin" w:xAlign="outside" w:y="1"/>
      <w:ind w:left="420" w:leftChars="200" w:right="420" w:rightChars="200"/>
      <w:rPr>
        <w:rStyle w:val="12"/>
        <w:rFonts w:ascii="宋体" w:cs="Times New Roman"/>
        <w:sz w:val="28"/>
        <w:szCs w:val="28"/>
      </w:rPr>
    </w:pPr>
    <w:r>
      <w:rPr>
        <w:rStyle w:val="12"/>
        <w:rFonts w:ascii="宋体" w:hAnsi="宋体" w:cs="宋体"/>
        <w:sz w:val="28"/>
        <w:szCs w:val="28"/>
      </w:rPr>
      <w:t xml:space="preserve">— </w:t>
    </w:r>
    <w:r>
      <w:rPr>
        <w:rStyle w:val="12"/>
        <w:rFonts w:ascii="宋体" w:hAnsi="宋体" w:cs="宋体"/>
        <w:sz w:val="28"/>
        <w:szCs w:val="28"/>
      </w:rPr>
      <w:fldChar w:fldCharType="begin"/>
    </w:r>
    <w:r>
      <w:rPr>
        <w:rStyle w:val="12"/>
        <w:rFonts w:ascii="宋体" w:hAnsi="宋体" w:cs="宋体"/>
        <w:sz w:val="28"/>
        <w:szCs w:val="28"/>
      </w:rPr>
      <w:instrText xml:space="preserve">PAGE  </w:instrText>
    </w:r>
    <w:r>
      <w:rPr>
        <w:rStyle w:val="12"/>
        <w:rFonts w:ascii="宋体" w:hAnsi="宋体" w:cs="宋体"/>
        <w:sz w:val="28"/>
        <w:szCs w:val="28"/>
      </w:rPr>
      <w:fldChar w:fldCharType="separate"/>
    </w:r>
    <w:r>
      <w:rPr>
        <w:rStyle w:val="12"/>
        <w:rFonts w:ascii="宋体" w:hAnsi="宋体" w:cs="宋体"/>
        <w:sz w:val="28"/>
        <w:szCs w:val="28"/>
      </w:rPr>
      <w:t>4</w:t>
    </w:r>
    <w:r>
      <w:rPr>
        <w:rStyle w:val="12"/>
        <w:rFonts w:ascii="宋体" w:hAnsi="宋体" w:cs="宋体"/>
        <w:sz w:val="28"/>
        <w:szCs w:val="28"/>
      </w:rPr>
      <w:fldChar w:fldCharType="end"/>
    </w:r>
    <w:r>
      <w:rPr>
        <w:rStyle w:val="12"/>
        <w:rFonts w:ascii="宋体" w:hAnsi="宋体" w:cs="宋体"/>
        <w:sz w:val="28"/>
        <w:szCs w:val="28"/>
      </w:rPr>
      <w:t xml:space="preserve"> —</w:t>
    </w:r>
  </w:p>
  <w:p>
    <w:pPr>
      <w:pStyle w:val="5"/>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2ZTcwOGZmMTRkODQ5MWU4MTM1N2I3YzEyOTVhN2QifQ=="/>
  </w:docVars>
  <w:rsids>
    <w:rsidRoot w:val="36A1023E"/>
    <w:rsid w:val="00005169"/>
    <w:rsid w:val="00031C7C"/>
    <w:rsid w:val="0011159E"/>
    <w:rsid w:val="002257CB"/>
    <w:rsid w:val="00226BAB"/>
    <w:rsid w:val="002A42D9"/>
    <w:rsid w:val="002A6BD0"/>
    <w:rsid w:val="00300FF5"/>
    <w:rsid w:val="00347D85"/>
    <w:rsid w:val="003A7A0D"/>
    <w:rsid w:val="00422A21"/>
    <w:rsid w:val="004956E4"/>
    <w:rsid w:val="005166F0"/>
    <w:rsid w:val="006073E7"/>
    <w:rsid w:val="006512AE"/>
    <w:rsid w:val="00696D8C"/>
    <w:rsid w:val="006A76DB"/>
    <w:rsid w:val="006F05C6"/>
    <w:rsid w:val="006F307E"/>
    <w:rsid w:val="007503BB"/>
    <w:rsid w:val="00861C9C"/>
    <w:rsid w:val="00894AD9"/>
    <w:rsid w:val="00941014"/>
    <w:rsid w:val="009D3356"/>
    <w:rsid w:val="00A15DDD"/>
    <w:rsid w:val="00AC6B73"/>
    <w:rsid w:val="00AE4752"/>
    <w:rsid w:val="00AF3333"/>
    <w:rsid w:val="00B53550"/>
    <w:rsid w:val="00C3571A"/>
    <w:rsid w:val="00C43373"/>
    <w:rsid w:val="00C46D06"/>
    <w:rsid w:val="00CC7B1D"/>
    <w:rsid w:val="00D0682C"/>
    <w:rsid w:val="00D177DB"/>
    <w:rsid w:val="00D264EB"/>
    <w:rsid w:val="00D842C4"/>
    <w:rsid w:val="00DA0635"/>
    <w:rsid w:val="00DC3D93"/>
    <w:rsid w:val="00E118A1"/>
    <w:rsid w:val="00E2073E"/>
    <w:rsid w:val="00F04824"/>
    <w:rsid w:val="00F117E8"/>
    <w:rsid w:val="0275668A"/>
    <w:rsid w:val="03892540"/>
    <w:rsid w:val="03A94CE2"/>
    <w:rsid w:val="03BA6178"/>
    <w:rsid w:val="04251B57"/>
    <w:rsid w:val="04820ADC"/>
    <w:rsid w:val="059C16D4"/>
    <w:rsid w:val="06062903"/>
    <w:rsid w:val="06FB5F81"/>
    <w:rsid w:val="080037BF"/>
    <w:rsid w:val="08E753B1"/>
    <w:rsid w:val="09ED51DB"/>
    <w:rsid w:val="0A277BD7"/>
    <w:rsid w:val="0A781397"/>
    <w:rsid w:val="0A7C67AF"/>
    <w:rsid w:val="0AC54C3C"/>
    <w:rsid w:val="0AED7584"/>
    <w:rsid w:val="0B013E73"/>
    <w:rsid w:val="0B077F8D"/>
    <w:rsid w:val="0B50557A"/>
    <w:rsid w:val="0B646DB4"/>
    <w:rsid w:val="0B7610E3"/>
    <w:rsid w:val="0B927856"/>
    <w:rsid w:val="0C0D6482"/>
    <w:rsid w:val="0C4E2658"/>
    <w:rsid w:val="0D1E75AF"/>
    <w:rsid w:val="0E5B47D0"/>
    <w:rsid w:val="0E6F3A68"/>
    <w:rsid w:val="0F4E11AD"/>
    <w:rsid w:val="0F6A2898"/>
    <w:rsid w:val="0FB861EA"/>
    <w:rsid w:val="1087469A"/>
    <w:rsid w:val="11BA57FF"/>
    <w:rsid w:val="133A108E"/>
    <w:rsid w:val="14155A1E"/>
    <w:rsid w:val="142179C9"/>
    <w:rsid w:val="1439510F"/>
    <w:rsid w:val="157C0DB9"/>
    <w:rsid w:val="15B56F10"/>
    <w:rsid w:val="15EE5FD1"/>
    <w:rsid w:val="15F31839"/>
    <w:rsid w:val="161B4648"/>
    <w:rsid w:val="165C7A79"/>
    <w:rsid w:val="17294DEE"/>
    <w:rsid w:val="17384188"/>
    <w:rsid w:val="180C273E"/>
    <w:rsid w:val="18A4506D"/>
    <w:rsid w:val="18BD7EDC"/>
    <w:rsid w:val="18FD34AA"/>
    <w:rsid w:val="1BDE6861"/>
    <w:rsid w:val="1BFE5601"/>
    <w:rsid w:val="1C272755"/>
    <w:rsid w:val="1C316E3A"/>
    <w:rsid w:val="1D696BE1"/>
    <w:rsid w:val="1D8E15C5"/>
    <w:rsid w:val="1E567848"/>
    <w:rsid w:val="1E6F213D"/>
    <w:rsid w:val="1E817A1C"/>
    <w:rsid w:val="1F4E3001"/>
    <w:rsid w:val="1FE61199"/>
    <w:rsid w:val="1FE77A1B"/>
    <w:rsid w:val="20200535"/>
    <w:rsid w:val="208A696D"/>
    <w:rsid w:val="20F326ED"/>
    <w:rsid w:val="223169A9"/>
    <w:rsid w:val="22BD15F5"/>
    <w:rsid w:val="22D462CF"/>
    <w:rsid w:val="22F0325C"/>
    <w:rsid w:val="235B27CC"/>
    <w:rsid w:val="238D507B"/>
    <w:rsid w:val="23BC6F5D"/>
    <w:rsid w:val="24BC729A"/>
    <w:rsid w:val="24C903A2"/>
    <w:rsid w:val="24F344B4"/>
    <w:rsid w:val="25C46260"/>
    <w:rsid w:val="27726D25"/>
    <w:rsid w:val="277960CB"/>
    <w:rsid w:val="2843001A"/>
    <w:rsid w:val="28A65F2F"/>
    <w:rsid w:val="28BF7040"/>
    <w:rsid w:val="28FD67A9"/>
    <w:rsid w:val="29237601"/>
    <w:rsid w:val="29785520"/>
    <w:rsid w:val="2B602FB2"/>
    <w:rsid w:val="2BA07916"/>
    <w:rsid w:val="2C792640"/>
    <w:rsid w:val="2D4F3DAC"/>
    <w:rsid w:val="2D6A01DB"/>
    <w:rsid w:val="2D8F19F0"/>
    <w:rsid w:val="2E1F2FAB"/>
    <w:rsid w:val="2E5707EA"/>
    <w:rsid w:val="2F7A7974"/>
    <w:rsid w:val="2FEA5603"/>
    <w:rsid w:val="30104B9D"/>
    <w:rsid w:val="314E34AD"/>
    <w:rsid w:val="31613394"/>
    <w:rsid w:val="317168C1"/>
    <w:rsid w:val="32A85C35"/>
    <w:rsid w:val="32C4038E"/>
    <w:rsid w:val="32E64113"/>
    <w:rsid w:val="32E70FF7"/>
    <w:rsid w:val="33390471"/>
    <w:rsid w:val="341113B0"/>
    <w:rsid w:val="34EF6AC7"/>
    <w:rsid w:val="36A1023E"/>
    <w:rsid w:val="37205D5A"/>
    <w:rsid w:val="3A563C88"/>
    <w:rsid w:val="3ABB02C8"/>
    <w:rsid w:val="3B4024B5"/>
    <w:rsid w:val="3D793EC1"/>
    <w:rsid w:val="3DC31EF8"/>
    <w:rsid w:val="3ECE2FF8"/>
    <w:rsid w:val="3FAB0FB0"/>
    <w:rsid w:val="406F2FF8"/>
    <w:rsid w:val="408D1686"/>
    <w:rsid w:val="40AD420F"/>
    <w:rsid w:val="40C15F0C"/>
    <w:rsid w:val="40E91602"/>
    <w:rsid w:val="41281B57"/>
    <w:rsid w:val="418F7DB9"/>
    <w:rsid w:val="41EC73B9"/>
    <w:rsid w:val="420C2243"/>
    <w:rsid w:val="42933225"/>
    <w:rsid w:val="43F92726"/>
    <w:rsid w:val="44621284"/>
    <w:rsid w:val="45C0478B"/>
    <w:rsid w:val="46060BEA"/>
    <w:rsid w:val="463D2769"/>
    <w:rsid w:val="46CB3641"/>
    <w:rsid w:val="471B0204"/>
    <w:rsid w:val="47684937"/>
    <w:rsid w:val="47CC70BF"/>
    <w:rsid w:val="484A2C8B"/>
    <w:rsid w:val="486870CB"/>
    <w:rsid w:val="49474415"/>
    <w:rsid w:val="498C66B2"/>
    <w:rsid w:val="4A225C6E"/>
    <w:rsid w:val="4A36386C"/>
    <w:rsid w:val="4A7F690D"/>
    <w:rsid w:val="4AAA5C63"/>
    <w:rsid w:val="4BC863A1"/>
    <w:rsid w:val="4C036F8C"/>
    <w:rsid w:val="4C580072"/>
    <w:rsid w:val="4CAE250E"/>
    <w:rsid w:val="4EEF1924"/>
    <w:rsid w:val="4EFE738A"/>
    <w:rsid w:val="4FA57CEC"/>
    <w:rsid w:val="506F14E1"/>
    <w:rsid w:val="50F166B3"/>
    <w:rsid w:val="51232B19"/>
    <w:rsid w:val="512D2A5C"/>
    <w:rsid w:val="514B1457"/>
    <w:rsid w:val="51C63383"/>
    <w:rsid w:val="52F54559"/>
    <w:rsid w:val="54C04E93"/>
    <w:rsid w:val="5602470B"/>
    <w:rsid w:val="56203FE7"/>
    <w:rsid w:val="56DD7F5E"/>
    <w:rsid w:val="59117379"/>
    <w:rsid w:val="59597E86"/>
    <w:rsid w:val="5A4E03B9"/>
    <w:rsid w:val="5BD929EC"/>
    <w:rsid w:val="5C3E312D"/>
    <w:rsid w:val="5D5F3F0C"/>
    <w:rsid w:val="5D881EC7"/>
    <w:rsid w:val="5DD617DB"/>
    <w:rsid w:val="5DD854BC"/>
    <w:rsid w:val="5F475654"/>
    <w:rsid w:val="5FBE1B3D"/>
    <w:rsid w:val="6005151A"/>
    <w:rsid w:val="60A6475A"/>
    <w:rsid w:val="63921A55"/>
    <w:rsid w:val="648E1C44"/>
    <w:rsid w:val="6496589E"/>
    <w:rsid w:val="652811A1"/>
    <w:rsid w:val="65424FBE"/>
    <w:rsid w:val="65991E30"/>
    <w:rsid w:val="66CE0D2E"/>
    <w:rsid w:val="67D669E1"/>
    <w:rsid w:val="686414AF"/>
    <w:rsid w:val="68867AFF"/>
    <w:rsid w:val="692147FE"/>
    <w:rsid w:val="69BA3040"/>
    <w:rsid w:val="69BF6668"/>
    <w:rsid w:val="6A531028"/>
    <w:rsid w:val="6BD948CA"/>
    <w:rsid w:val="6C183815"/>
    <w:rsid w:val="6C411ADA"/>
    <w:rsid w:val="6CAE2F39"/>
    <w:rsid w:val="6D9A7BB7"/>
    <w:rsid w:val="6E570E90"/>
    <w:rsid w:val="6EAA08C1"/>
    <w:rsid w:val="6F0E6EA6"/>
    <w:rsid w:val="7036520C"/>
    <w:rsid w:val="704928A9"/>
    <w:rsid w:val="71EA0570"/>
    <w:rsid w:val="72271FE2"/>
    <w:rsid w:val="72A9042B"/>
    <w:rsid w:val="72D229A4"/>
    <w:rsid w:val="7353593E"/>
    <w:rsid w:val="735719EC"/>
    <w:rsid w:val="73764465"/>
    <w:rsid w:val="739E3FAC"/>
    <w:rsid w:val="73D47E32"/>
    <w:rsid w:val="74E05C5A"/>
    <w:rsid w:val="74F9415C"/>
    <w:rsid w:val="750078A0"/>
    <w:rsid w:val="7620726A"/>
    <w:rsid w:val="77085268"/>
    <w:rsid w:val="771147F0"/>
    <w:rsid w:val="77191A38"/>
    <w:rsid w:val="783D7431"/>
    <w:rsid w:val="78706C88"/>
    <w:rsid w:val="78971350"/>
    <w:rsid w:val="791A2FCB"/>
    <w:rsid w:val="797C544E"/>
    <w:rsid w:val="79975481"/>
    <w:rsid w:val="7A6A69E4"/>
    <w:rsid w:val="7B426DE2"/>
    <w:rsid w:val="7B9B0B2D"/>
    <w:rsid w:val="7BC75C3C"/>
    <w:rsid w:val="7BDF310F"/>
    <w:rsid w:val="7C52743D"/>
    <w:rsid w:val="7CA53A11"/>
    <w:rsid w:val="7DA220A1"/>
    <w:rsid w:val="7F4166E2"/>
    <w:rsid w:val="7F9A182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character" w:default="1" w:styleId="10">
    <w:name w:val="Default Paragraph Font"/>
    <w:autoRedefine/>
    <w:semiHidden/>
    <w:qFormat/>
    <w:uiPriority w:val="99"/>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spacing w:after="120"/>
    </w:pPr>
    <w:rPr>
      <w:rFonts w:ascii="Times New Roman" w:hAnsi="Times New Roman" w:eastAsia="宋体" w:cs="Times New Roman"/>
    </w:rPr>
  </w:style>
  <w:style w:type="paragraph" w:styleId="3">
    <w:name w:val="Body Text Indent"/>
    <w:basedOn w:val="1"/>
    <w:next w:val="4"/>
    <w:autoRedefine/>
    <w:qFormat/>
    <w:uiPriority w:val="0"/>
    <w:pPr>
      <w:spacing w:after="120"/>
      <w:ind w:left="420" w:leftChars="200"/>
    </w:pPr>
  </w:style>
  <w:style w:type="paragraph" w:styleId="4">
    <w:name w:val="Body Text First Indent 2"/>
    <w:basedOn w:val="3"/>
    <w:next w:val="1"/>
    <w:qFormat/>
    <w:uiPriority w:val="99"/>
    <w:pPr>
      <w:ind w:firstLine="420"/>
    </w:pPr>
  </w:style>
  <w:style w:type="paragraph" w:styleId="5">
    <w:name w:val="footer"/>
    <w:basedOn w:val="1"/>
    <w:link w:val="16"/>
    <w:autoRedefine/>
    <w:qFormat/>
    <w:uiPriority w:val="99"/>
    <w:pPr>
      <w:tabs>
        <w:tab w:val="center" w:pos="4153"/>
        <w:tab w:val="right" w:pos="8306"/>
      </w:tabs>
      <w:snapToGrid w:val="0"/>
      <w:jc w:val="left"/>
    </w:pPr>
    <w:rPr>
      <w:sz w:val="18"/>
      <w:szCs w:val="18"/>
    </w:rPr>
  </w:style>
  <w:style w:type="paragraph" w:styleId="6">
    <w:name w:val="header"/>
    <w:basedOn w:val="1"/>
    <w:link w:val="17"/>
    <w:autoRedefine/>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autoRedefine/>
    <w:qFormat/>
    <w:uiPriority w:val="99"/>
    <w:pPr>
      <w:jc w:val="left"/>
    </w:pPr>
    <w:rPr>
      <w:kern w:val="0"/>
      <w:sz w:val="24"/>
      <w:szCs w:val="24"/>
    </w:rPr>
  </w:style>
  <w:style w:type="paragraph" w:styleId="8">
    <w:name w:val="Body Text First Indent"/>
    <w:basedOn w:val="2"/>
    <w:next w:val="1"/>
    <w:autoRedefine/>
    <w:qFormat/>
    <w:uiPriority w:val="0"/>
    <w:pPr>
      <w:ind w:firstLine="420" w:firstLineChars="100"/>
    </w:pPr>
    <w:rPr>
      <w:rFonts w:ascii="Times New Roman" w:hAnsi="Times New Roman" w:eastAsia="宋体" w:cs="Times New Roman"/>
      <w:szCs w:val="22"/>
    </w:rPr>
  </w:style>
  <w:style w:type="character" w:styleId="11">
    <w:name w:val="Strong"/>
    <w:basedOn w:val="10"/>
    <w:autoRedefine/>
    <w:qFormat/>
    <w:uiPriority w:val="99"/>
    <w:rPr>
      <w:b/>
      <w:bCs/>
    </w:rPr>
  </w:style>
  <w:style w:type="character" w:styleId="12">
    <w:name w:val="page number"/>
    <w:basedOn w:val="10"/>
    <w:autoRedefine/>
    <w:qFormat/>
    <w:uiPriority w:val="99"/>
  </w:style>
  <w:style w:type="character" w:styleId="13">
    <w:name w:val="FollowedHyperlink"/>
    <w:basedOn w:val="10"/>
    <w:autoRedefine/>
    <w:qFormat/>
    <w:uiPriority w:val="99"/>
    <w:rPr>
      <w:color w:val="auto"/>
      <w:u w:val="none"/>
    </w:rPr>
  </w:style>
  <w:style w:type="character" w:styleId="14">
    <w:name w:val="Emphasis"/>
    <w:basedOn w:val="10"/>
    <w:autoRedefine/>
    <w:qFormat/>
    <w:uiPriority w:val="99"/>
  </w:style>
  <w:style w:type="character" w:styleId="15">
    <w:name w:val="Hyperlink"/>
    <w:basedOn w:val="10"/>
    <w:autoRedefine/>
    <w:qFormat/>
    <w:uiPriority w:val="99"/>
    <w:rPr>
      <w:color w:val="auto"/>
      <w:u w:val="none"/>
    </w:rPr>
  </w:style>
  <w:style w:type="character" w:customStyle="1" w:styleId="16">
    <w:name w:val="Footer Char"/>
    <w:basedOn w:val="10"/>
    <w:link w:val="5"/>
    <w:autoRedefine/>
    <w:qFormat/>
    <w:locked/>
    <w:uiPriority w:val="99"/>
    <w:rPr>
      <w:rFonts w:ascii="Calibri" w:hAnsi="Calibri" w:eastAsia="宋体" w:cs="Calibri"/>
      <w:kern w:val="2"/>
      <w:sz w:val="18"/>
      <w:szCs w:val="18"/>
    </w:rPr>
  </w:style>
  <w:style w:type="character" w:customStyle="1" w:styleId="17">
    <w:name w:val="Header Char"/>
    <w:basedOn w:val="10"/>
    <w:link w:val="6"/>
    <w:autoRedefine/>
    <w:qFormat/>
    <w:locked/>
    <w:uiPriority w:val="99"/>
    <w:rPr>
      <w:rFonts w:ascii="Calibri" w:hAnsi="Calibri" w:eastAsia="宋体" w:cs="Calibri"/>
      <w:kern w:val="2"/>
      <w:sz w:val="18"/>
      <w:szCs w:val="18"/>
    </w:rPr>
  </w:style>
  <w:style w:type="character" w:customStyle="1" w:styleId="18">
    <w:name w:val="hover16"/>
    <w:basedOn w:val="10"/>
    <w:autoRedefine/>
    <w:qFormat/>
    <w:uiPriority w:val="0"/>
  </w:style>
  <w:style w:type="character" w:customStyle="1" w:styleId="19">
    <w:name w:val="swiper-active-switch"/>
    <w:basedOn w:val="10"/>
    <w:autoRedefine/>
    <w:qFormat/>
    <w:uiPriority w:val="0"/>
  </w:style>
  <w:style w:type="character" w:customStyle="1" w:styleId="20">
    <w:name w:val="swiper-active-switch1"/>
    <w:basedOn w:val="10"/>
    <w:autoRedefine/>
    <w:qFormat/>
    <w:uiPriority w:val="0"/>
  </w:style>
  <w:style w:type="character" w:customStyle="1" w:styleId="21">
    <w:name w:val="swiper-active-switch10"/>
    <w:basedOn w:val="10"/>
    <w:autoRedefine/>
    <w:qFormat/>
    <w:uiPriority w:val="0"/>
  </w:style>
  <w:style w:type="character" w:customStyle="1" w:styleId="22">
    <w:name w:val="swiper-active-switch11"/>
    <w:basedOn w:val="10"/>
    <w:autoRedefine/>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中国微软</Company>
  <Pages>7</Pages>
  <Words>3017</Words>
  <Characters>3118</Characters>
  <Lines>0</Lines>
  <Paragraphs>0</Paragraphs>
  <TotalTime>7</TotalTime>
  <ScaleCrop>false</ScaleCrop>
  <LinksUpToDate>false</LinksUpToDate>
  <CharactersWithSpaces>3120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2022-08-29T09:34:00Z</dcterms:created>
  <dc:creator>Administrator</dc:creator>
  <cp:lastModifiedBy>远烟</cp:lastModifiedBy>
  <cp:lastPrinted>2022-09-05T08:28:00Z</cp:lastPrinted>
  <dcterms:modified xsi:type="dcterms:W3CDTF">2024-08-09T09:51:22Z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07300EF8F90746AF8EF9202C6E14637B_13</vt:lpwstr>
  </property>
</Properties>
</file>